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80"/>
      </w:tblGrid>
      <w:tr w:rsidR="00E77A28" w:rsidRPr="00302206" w:rsidTr="00205CF2">
        <w:trPr>
          <w:jc w:val="center"/>
        </w:trPr>
        <w:tc>
          <w:tcPr>
            <w:tcW w:w="3608" w:type="dxa"/>
          </w:tcPr>
          <w:p w:rsidR="00E77A28" w:rsidRPr="00302206" w:rsidRDefault="00E77A28" w:rsidP="00205CF2">
            <w:pPr>
              <w:spacing w:before="0" w:after="0" w:line="240" w:lineRule="auto"/>
              <w:rPr>
                <w:b/>
                <w:bCs/>
                <w:sz w:val="26"/>
                <w:szCs w:val="26"/>
                <w:lang w:val="it-IT"/>
              </w:rPr>
            </w:pPr>
            <w:r w:rsidRPr="00302206">
              <w:rPr>
                <w:b/>
                <w:bCs/>
                <w:sz w:val="26"/>
                <w:szCs w:val="26"/>
                <w:lang w:val="it-IT"/>
              </w:rPr>
              <w:t>KIỂM TOÁN NHÀ NƯỚC</w:t>
            </w:r>
          </w:p>
          <w:p w:rsidR="00E77A28" w:rsidRPr="00302206" w:rsidRDefault="00E77A28"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13970" r="5715" b="508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3AE25D"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vsm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Cbpyk0HCM6+BKSD4nGOv+J6w4Fo8BSqCAbycnpxflA&#10;hORDSDhWeiukjK2XCvUFXs7Gs5jgtBQsOEOYs82hlBadSBie+MWqwPMYZvVRsQjWcsI2N9sTIa82&#10;XC5VwINSgM7Nuk7Hj2W63Cw2i+loOp5vRtO0qkYft+V0NN9mH2bVpCrLKvsZqGXTvBWMcRXYDZOa&#10;Tf9uEm5v5jpj91m9y5C8RY96AdnhH0nHXob2XQfhoNllZ4cew3DG4NtDCtP/uAf78bmvfwE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J5O+yYcAgAANgQAAA4AAAAAAAAAAAAAAAAALgIAAGRycy9lMm9Eb2MueG1sUEsBAi0AFAAG&#10;AAgAAAAhAOcJ2KTaAAAABgEAAA8AAAAAAAAAAAAAAAAAdgQAAGRycy9kb3ducmV2LnhtbFBLBQYA&#10;AAAABAAEAPMAAAB9BQAAAAA=&#10;"/>
                  </w:pict>
                </mc:Fallback>
              </mc:AlternateContent>
            </w:r>
          </w:p>
          <w:p w:rsidR="00E77A28" w:rsidRPr="00302206" w:rsidRDefault="00E77A28" w:rsidP="00205CF2">
            <w:pPr>
              <w:spacing w:before="0" w:after="0" w:line="240" w:lineRule="auto"/>
              <w:rPr>
                <w:b/>
                <w:bCs/>
                <w:sz w:val="26"/>
                <w:szCs w:val="26"/>
                <w:lang w:val="it-IT"/>
              </w:rPr>
            </w:pPr>
          </w:p>
        </w:tc>
        <w:tc>
          <w:tcPr>
            <w:tcW w:w="5680" w:type="dxa"/>
          </w:tcPr>
          <w:p w:rsidR="00E77A28" w:rsidRPr="00302206" w:rsidRDefault="00E77A28" w:rsidP="00205CF2">
            <w:pPr>
              <w:spacing w:before="0" w:after="0" w:line="240" w:lineRule="auto"/>
              <w:rPr>
                <w:b/>
                <w:bCs/>
                <w:sz w:val="26"/>
                <w:szCs w:val="26"/>
                <w:lang w:val="it-IT"/>
              </w:rPr>
            </w:pPr>
            <w:r w:rsidRPr="00302206">
              <w:rPr>
                <w:b/>
                <w:bCs/>
                <w:sz w:val="26"/>
                <w:szCs w:val="26"/>
                <w:lang w:val="it-IT"/>
              </w:rPr>
              <w:t>CỘNG HOÀ XÃ HỘI CHỦ NGHĨA VIỆT NAM</w:t>
            </w:r>
          </w:p>
          <w:p w:rsidR="00E77A28" w:rsidRPr="00302206" w:rsidRDefault="00E77A28"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8255" r="8890"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DB17B2"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Vzm4pB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E77A28" w:rsidRPr="00302206" w:rsidRDefault="00E77A28" w:rsidP="00205CF2">
            <w:pPr>
              <w:spacing w:before="0" w:after="0" w:line="240" w:lineRule="auto"/>
              <w:rPr>
                <w:sz w:val="6"/>
                <w:szCs w:val="6"/>
                <w:lang w:val="it-IT"/>
              </w:rPr>
            </w:pPr>
          </w:p>
        </w:tc>
      </w:tr>
    </w:tbl>
    <w:p w:rsidR="00E77A28" w:rsidRPr="00302206" w:rsidRDefault="00E77A28" w:rsidP="00E77A28">
      <w:pPr>
        <w:rPr>
          <w:b/>
        </w:rPr>
      </w:pPr>
      <w:r w:rsidRPr="00302206">
        <w:rPr>
          <w:b/>
        </w:rPr>
        <w:t>QUY ĐỊNH CHUẨN MỰC KIỂM TOÁN NHÀ NƯỚC SỐ 2570</w:t>
      </w:r>
    </w:p>
    <w:p w:rsidR="00E77A28" w:rsidRPr="00302206" w:rsidRDefault="00E77A28" w:rsidP="00E77A28">
      <w:pPr>
        <w:rPr>
          <w:b/>
        </w:rPr>
      </w:pPr>
      <w:r w:rsidRPr="00302206">
        <w:rPr>
          <w:b/>
        </w:rPr>
        <w:t>KIỂM TOÁN HOẠT ĐỘNG LIÊN TỤC CỦA ĐƠN VỊ</w:t>
      </w:r>
    </w:p>
    <w:p w:rsidR="00E77A28" w:rsidRPr="00302206" w:rsidRDefault="00E77A28" w:rsidP="00E77A28">
      <w:pPr>
        <w:rPr>
          <w:b/>
        </w:rPr>
      </w:pPr>
      <w:r w:rsidRPr="00302206">
        <w:rPr>
          <w:b/>
        </w:rPr>
        <w:t xml:space="preserve"> TRONG KIỂM TOÁN TÀI CHÍNH</w:t>
      </w:r>
    </w:p>
    <w:p w:rsidR="00E77A28" w:rsidRPr="00302206" w:rsidRDefault="00E77A28" w:rsidP="00E77A28">
      <w:pPr>
        <w:spacing w:before="0" w:after="0"/>
        <w:rPr>
          <w:i/>
        </w:rPr>
      </w:pPr>
      <w:r w:rsidRPr="00302206">
        <w:rPr>
          <w:i/>
        </w:rPr>
        <w:t xml:space="preserve">(Ban hành kèm theo Quyết định số   </w:t>
      </w:r>
      <w:r w:rsidR="003969FA">
        <w:rPr>
          <w:i/>
          <w:lang w:val="en-US"/>
        </w:rPr>
        <w:t xml:space="preserve">       </w:t>
      </w:r>
      <w:r w:rsidRPr="00302206">
        <w:rPr>
          <w:i/>
        </w:rPr>
        <w:t xml:space="preserve"> /2024/QĐ-KTNN</w:t>
      </w:r>
    </w:p>
    <w:p w:rsidR="00E77A28" w:rsidRPr="00302206" w:rsidRDefault="003969FA" w:rsidP="00E77A28">
      <w:pPr>
        <w:spacing w:before="0" w:after="0"/>
        <w:rPr>
          <w:i/>
        </w:rPr>
      </w:pPr>
      <w:r w:rsidRPr="00302206">
        <w:rPr>
          <w:i/>
        </w:rPr>
        <w:t>N</w:t>
      </w:r>
      <w:r w:rsidR="00E77A28" w:rsidRPr="00302206">
        <w:rPr>
          <w:i/>
        </w:rPr>
        <w:t>gày</w:t>
      </w:r>
      <w:r>
        <w:rPr>
          <w:i/>
          <w:lang w:val="en-US"/>
        </w:rPr>
        <w:t xml:space="preserve">  </w:t>
      </w:r>
      <w:r w:rsidR="00E77A28" w:rsidRPr="00302206">
        <w:rPr>
          <w:i/>
        </w:rPr>
        <w:t xml:space="preserve">     tháng     năm 2024 của Tổng Kiểm toán nhà nước)</w:t>
      </w:r>
    </w:p>
    <w:p w:rsidR="00E77A28" w:rsidRPr="00302206" w:rsidRDefault="00E77A28" w:rsidP="00E77A28">
      <w:pPr>
        <w:rPr>
          <w:b/>
          <w:bCs/>
          <w:szCs w:val="28"/>
        </w:rPr>
      </w:pPr>
      <w:r w:rsidRPr="00302206">
        <w:rPr>
          <w:b/>
          <w:noProof/>
          <w:lang w:val="en-US"/>
        </w:rPr>
        <mc:AlternateContent>
          <mc:Choice Requires="wps">
            <w:drawing>
              <wp:anchor distT="0" distB="0" distL="114300" distR="114300" simplePos="0" relativeHeight="251659264" behindDoc="0" locked="0" layoutInCell="1" allowOverlap="1">
                <wp:simplePos x="0" y="0"/>
                <wp:positionH relativeFrom="column">
                  <wp:posOffset>2142490</wp:posOffset>
                </wp:positionH>
                <wp:positionV relativeFrom="paragraph">
                  <wp:posOffset>69850</wp:posOffset>
                </wp:positionV>
                <wp:extent cx="1438275" cy="0"/>
                <wp:effectExtent l="12700" t="12065" r="6350" b="69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87471D" id="_x0000_t32" coordsize="21600,21600" o:spt="32" o:oned="t" path="m,l21600,21600e" filled="f">
                <v:path arrowok="t" fillok="f" o:connecttype="none"/>
                <o:lock v:ext="edit" shapetype="t"/>
              </v:shapetype>
              <v:shape id="Straight Arrow Connector 1" o:spid="_x0000_s1026" type="#_x0000_t32" style="position:absolute;margin-left:168.7pt;margin-top:5.5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"/>
            </w:pict>
          </mc:Fallback>
        </mc:AlternateContent>
      </w:r>
    </w:p>
    <w:p w:rsidR="00E77A28" w:rsidRPr="00302206" w:rsidRDefault="00E77A28" w:rsidP="005743F8">
      <w:pPr>
        <w:spacing w:before="80" w:after="80" w:line="240" w:lineRule="auto"/>
        <w:jc w:val="both"/>
        <w:rPr>
          <w:i/>
          <w:szCs w:val="28"/>
        </w:rPr>
      </w:pPr>
      <w:r w:rsidRPr="00302206">
        <w:rPr>
          <w:b/>
          <w:bCs/>
          <w:szCs w:val="28"/>
        </w:rPr>
        <w:t>QUY ĐỊNH CHUNG</w:t>
      </w:r>
    </w:p>
    <w:p w:rsidR="00E77A28" w:rsidRPr="00302206" w:rsidRDefault="00E77A28" w:rsidP="005743F8">
      <w:pPr>
        <w:widowControl w:val="0"/>
        <w:tabs>
          <w:tab w:val="left" w:pos="567"/>
        </w:tabs>
        <w:autoSpaceDE w:val="0"/>
        <w:autoSpaceDN w:val="0"/>
        <w:adjustRightInd w:val="0"/>
        <w:spacing w:before="80" w:after="80" w:line="240" w:lineRule="auto"/>
        <w:jc w:val="both"/>
        <w:rPr>
          <w:b/>
          <w:bCs/>
          <w:szCs w:val="28"/>
        </w:rPr>
      </w:pPr>
      <w:r w:rsidRPr="00302206">
        <w:rPr>
          <w:b/>
          <w:bCs/>
          <w:szCs w:val="28"/>
        </w:rPr>
        <w:t xml:space="preserve">Cơ sở xây dựng </w:t>
      </w:r>
    </w:p>
    <w:p w:rsidR="00E77A28" w:rsidRPr="00302206" w:rsidRDefault="00E77A28" w:rsidP="005743F8">
      <w:pPr>
        <w:widowControl w:val="0"/>
        <w:numPr>
          <w:ilvl w:val="0"/>
          <w:numId w:val="15"/>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Chuẩn mực này được xây dựng và phát triển dựa trên cơ sở CMKTNN 100 - Các nguyên tắc cơ bản trong hoạt động kiểm toán của Kiểm toán nhà nước, CMKTNN 200 - Các nguyên tắc của kiểm toán tài chính và ISSAI 2570 của INTOSAI - Hoạt động liên tục.</w:t>
      </w:r>
    </w:p>
    <w:p w:rsidR="00E77A28" w:rsidRPr="00302206" w:rsidRDefault="00E77A28" w:rsidP="005743F8">
      <w:pPr>
        <w:widowControl w:val="0"/>
        <w:tabs>
          <w:tab w:val="left" w:pos="284"/>
          <w:tab w:val="left" w:pos="426"/>
          <w:tab w:val="left" w:pos="567"/>
        </w:tabs>
        <w:autoSpaceDE w:val="0"/>
        <w:autoSpaceDN w:val="0"/>
        <w:adjustRightInd w:val="0"/>
        <w:spacing w:before="80" w:after="80" w:line="240" w:lineRule="auto"/>
        <w:jc w:val="both"/>
        <w:rPr>
          <w:b/>
          <w:bCs/>
          <w:szCs w:val="28"/>
        </w:rPr>
      </w:pPr>
      <w:r w:rsidRPr="00302206">
        <w:rPr>
          <w:b/>
          <w:bCs/>
          <w:szCs w:val="28"/>
        </w:rPr>
        <w:t xml:space="preserve">Mục đích và phạm vi áp dụng </w:t>
      </w:r>
    </w:p>
    <w:p w:rsidR="00E77A28" w:rsidRPr="00302206" w:rsidRDefault="00E77A28" w:rsidP="005743F8">
      <w:pPr>
        <w:widowControl w:val="0"/>
        <w:numPr>
          <w:ilvl w:val="0"/>
          <w:numId w:val="15"/>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Chuẩn mực này quy định và hướng dẫn trách nhiệm của kiểm toán viên nhà nước trong việc xét đoán giả định hoạt động liên tục mà đơn vị được kiểm toán đã sử dụng để lập và trình bày báo cáo tài chính được kiểm toán trong cuộc kiểm toán tài chính, bao gồm cả việc xem xét các đánh giá của đơn vị được kiểm toán về khả năng hoạt động liên tục của đơn vị, nhằm giúp kiểm toán viên nhà nước:</w:t>
      </w:r>
    </w:p>
    <w:p w:rsidR="00E77A28" w:rsidRPr="00302206" w:rsidRDefault="00E77A28" w:rsidP="005743F8">
      <w:pPr>
        <w:widowControl w:val="0"/>
        <w:numPr>
          <w:ilvl w:val="0"/>
          <w:numId w:val="8"/>
        </w:numPr>
        <w:spacing w:before="80" w:after="80" w:line="240" w:lineRule="auto"/>
        <w:ind w:left="1276" w:hanging="709"/>
        <w:jc w:val="both"/>
        <w:rPr>
          <w:szCs w:val="28"/>
        </w:rPr>
      </w:pPr>
      <w:r w:rsidRPr="00302206">
        <w:rPr>
          <w:szCs w:val="28"/>
        </w:rPr>
        <w:t>Thu thập đầy đủ bằng chứng kiểm toán thích hợp về tính hợp lý của giả định hoạt động liên tục mà đơn vị được kiểm toán đã sử dụng khi lập và trình bày báo cáo tài chính;</w:t>
      </w:r>
    </w:p>
    <w:p w:rsidR="00E77A28" w:rsidRPr="00302206" w:rsidRDefault="00E77A28" w:rsidP="005743F8">
      <w:pPr>
        <w:widowControl w:val="0"/>
        <w:numPr>
          <w:ilvl w:val="0"/>
          <w:numId w:val="8"/>
        </w:numPr>
        <w:spacing w:before="80" w:after="80" w:line="240" w:lineRule="auto"/>
        <w:ind w:left="1276" w:hanging="709"/>
        <w:jc w:val="both"/>
        <w:rPr>
          <w:szCs w:val="28"/>
        </w:rPr>
      </w:pPr>
      <w:r w:rsidRPr="00302206">
        <w:rPr>
          <w:szCs w:val="28"/>
        </w:rPr>
        <w:t>Dựa trên các bằng chứng kiểm toán đã thu thập được, kết luận về việc liệu có còn yếu tố không chắc chắn trọng yếu nào liên quan tới các sự kiện hoặc điều kiện có thể dẫn đến nghi ngờ đáng kể về khả năng hoạt động liên tục của đơn vị được kiểm toán;</w:t>
      </w:r>
    </w:p>
    <w:p w:rsidR="00E77A28" w:rsidRPr="00302206" w:rsidRDefault="00E77A28" w:rsidP="005743F8">
      <w:pPr>
        <w:widowControl w:val="0"/>
        <w:numPr>
          <w:ilvl w:val="0"/>
          <w:numId w:val="8"/>
        </w:numPr>
        <w:tabs>
          <w:tab w:val="left" w:pos="1276"/>
        </w:tabs>
        <w:spacing w:before="80" w:after="80" w:line="240" w:lineRule="auto"/>
        <w:ind w:left="1276" w:hanging="709"/>
        <w:jc w:val="both"/>
        <w:rPr>
          <w:szCs w:val="28"/>
        </w:rPr>
      </w:pPr>
      <w:r w:rsidRPr="00302206">
        <w:rPr>
          <w:szCs w:val="28"/>
        </w:rPr>
        <w:t xml:space="preserve">Xác định ảnh hưởng đến báo cáo kiểm toán. </w:t>
      </w:r>
    </w:p>
    <w:p w:rsidR="00E77A28" w:rsidRPr="003969FA" w:rsidRDefault="00E77A28" w:rsidP="005743F8">
      <w:pPr>
        <w:widowControl w:val="0"/>
        <w:numPr>
          <w:ilvl w:val="0"/>
          <w:numId w:val="15"/>
        </w:numPr>
        <w:tabs>
          <w:tab w:val="left" w:pos="-4820"/>
        </w:tabs>
        <w:autoSpaceDE w:val="0"/>
        <w:autoSpaceDN w:val="0"/>
        <w:adjustRightInd w:val="0"/>
        <w:spacing w:before="80" w:after="80" w:line="240" w:lineRule="auto"/>
        <w:ind w:left="567" w:hanging="567"/>
        <w:jc w:val="both"/>
        <w:rPr>
          <w:spacing w:val="-2"/>
          <w:szCs w:val="28"/>
        </w:rPr>
      </w:pPr>
      <w:r w:rsidRPr="003969FA">
        <w:rPr>
          <w:spacing w:val="-2"/>
          <w:szCs w:val="28"/>
        </w:rPr>
        <w:t>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w:t>
      </w:r>
    </w:p>
    <w:p w:rsidR="00E77A28" w:rsidRPr="00302206" w:rsidRDefault="00E77A28" w:rsidP="005743F8">
      <w:pPr>
        <w:widowControl w:val="0"/>
        <w:tabs>
          <w:tab w:val="left" w:pos="284"/>
          <w:tab w:val="left" w:pos="426"/>
          <w:tab w:val="left" w:pos="567"/>
        </w:tabs>
        <w:autoSpaceDE w:val="0"/>
        <w:autoSpaceDN w:val="0"/>
        <w:adjustRightInd w:val="0"/>
        <w:spacing w:before="80" w:after="80" w:line="240" w:lineRule="auto"/>
        <w:jc w:val="both"/>
        <w:rPr>
          <w:b/>
          <w:bCs/>
          <w:szCs w:val="28"/>
        </w:rPr>
      </w:pPr>
      <w:r w:rsidRPr="00302206">
        <w:rPr>
          <w:b/>
          <w:bCs/>
          <w:szCs w:val="28"/>
        </w:rPr>
        <w:t xml:space="preserve">Giải thích thuật ngữ </w:t>
      </w:r>
    </w:p>
    <w:p w:rsidR="00E77A28" w:rsidRPr="00302206" w:rsidRDefault="00E77A28" w:rsidP="005743F8">
      <w:pPr>
        <w:widowControl w:val="0"/>
        <w:numPr>
          <w:ilvl w:val="0"/>
          <w:numId w:val="15"/>
        </w:numPr>
        <w:tabs>
          <w:tab w:val="left" w:pos="567"/>
        </w:tabs>
        <w:overflowPunct w:val="0"/>
        <w:autoSpaceDE w:val="0"/>
        <w:autoSpaceDN w:val="0"/>
        <w:adjustRightInd w:val="0"/>
        <w:spacing w:before="80" w:after="80" w:line="240" w:lineRule="auto"/>
        <w:ind w:left="567" w:hanging="567"/>
        <w:jc w:val="both"/>
        <w:rPr>
          <w:szCs w:val="28"/>
        </w:rPr>
      </w:pPr>
      <w:r w:rsidRPr="00302206">
        <w:rPr>
          <w:rFonts w:eastAsia="Times New Roman"/>
          <w:szCs w:val="28"/>
          <w:lang w:val="nl-NL"/>
        </w:rPr>
        <w:t xml:space="preserve">Trong hệ thống chuẩn mực kiểm toán nhà nước, thuật ngữ </w:t>
      </w:r>
      <w:r w:rsidRPr="00302206">
        <w:rPr>
          <w:rFonts w:eastAsia="Times New Roman"/>
          <w:szCs w:val="28"/>
        </w:rPr>
        <w:t>“</w:t>
      </w:r>
      <w:r w:rsidRPr="00302206">
        <w:rPr>
          <w:szCs w:val="28"/>
        </w:rPr>
        <w:t xml:space="preserve">Hoạt động liên tục” </w:t>
      </w:r>
      <w:r w:rsidRPr="00302206">
        <w:rPr>
          <w:rFonts w:eastAsia="Times New Roman"/>
          <w:szCs w:val="28"/>
          <w:lang w:val="nl-NL"/>
        </w:rPr>
        <w:t>được hiểu như sau</w:t>
      </w:r>
      <w:r w:rsidRPr="00302206">
        <w:rPr>
          <w:szCs w:val="28"/>
        </w:rPr>
        <w:t xml:space="preserve">: </w:t>
      </w:r>
    </w:p>
    <w:p w:rsidR="00E77A28" w:rsidRPr="00302206" w:rsidRDefault="00E77A28" w:rsidP="005743F8">
      <w:pPr>
        <w:widowControl w:val="0"/>
        <w:tabs>
          <w:tab w:val="left" w:pos="567"/>
        </w:tabs>
        <w:overflowPunct w:val="0"/>
        <w:autoSpaceDE w:val="0"/>
        <w:autoSpaceDN w:val="0"/>
        <w:adjustRightInd w:val="0"/>
        <w:spacing w:before="80" w:after="80" w:line="240" w:lineRule="auto"/>
        <w:ind w:left="567"/>
        <w:jc w:val="both"/>
        <w:rPr>
          <w:szCs w:val="28"/>
        </w:rPr>
      </w:pPr>
      <w:r w:rsidRPr="00302206">
        <w:rPr>
          <w:szCs w:val="28"/>
        </w:rPr>
        <w:t>Một đơn vị được coi là hoạt động liên tục là đơn vị tiếp tục hoạt động trong một tương lai định trước (&gt;= 12 tháng) mà không có ý định chấm dứt hoặc thu hẹp đáng kể quy mô hoạt động trong tương lai gần hoặc tìm kiếm sự bảo hộ từ các chủ nợ theo quy định pháp luật và quy định hiện hành.</w:t>
      </w:r>
    </w:p>
    <w:p w:rsidR="00E77A28" w:rsidRPr="00302206" w:rsidRDefault="00E77A28" w:rsidP="005743F8">
      <w:pPr>
        <w:widowControl w:val="0"/>
        <w:tabs>
          <w:tab w:val="left" w:pos="567"/>
          <w:tab w:val="left" w:pos="1134"/>
        </w:tabs>
        <w:overflowPunct w:val="0"/>
        <w:autoSpaceDE w:val="0"/>
        <w:autoSpaceDN w:val="0"/>
        <w:adjustRightInd w:val="0"/>
        <w:spacing w:before="80" w:after="80" w:line="240" w:lineRule="auto"/>
        <w:ind w:left="567"/>
        <w:jc w:val="both"/>
        <w:rPr>
          <w:szCs w:val="28"/>
        </w:rPr>
      </w:pPr>
      <w:r w:rsidRPr="00302206">
        <w:rPr>
          <w:szCs w:val="28"/>
        </w:rPr>
        <w:lastRenderedPageBreak/>
        <w:t>Các thuật ngữ khác sử dụng trong chuẩn mực này được định nghĩa như trong các chuẩn mực kiểm toán do Kiểm toán nhà nước ban hành.</w:t>
      </w:r>
    </w:p>
    <w:p w:rsidR="00E77A28" w:rsidRPr="00302206" w:rsidRDefault="00E77A28" w:rsidP="005743F8">
      <w:pPr>
        <w:widowControl w:val="0"/>
        <w:tabs>
          <w:tab w:val="left" w:pos="567"/>
        </w:tabs>
        <w:autoSpaceDE w:val="0"/>
        <w:autoSpaceDN w:val="0"/>
        <w:adjustRightInd w:val="0"/>
        <w:spacing w:before="80" w:after="80" w:line="240" w:lineRule="auto"/>
        <w:jc w:val="both"/>
        <w:rPr>
          <w:b/>
          <w:bCs/>
          <w:szCs w:val="28"/>
        </w:rPr>
      </w:pPr>
      <w:r w:rsidRPr="00302206">
        <w:rPr>
          <w:b/>
          <w:bCs/>
          <w:szCs w:val="28"/>
        </w:rPr>
        <w:t>NỘI DUNG CHUẨN MỰC</w:t>
      </w:r>
    </w:p>
    <w:p w:rsidR="00E77A28" w:rsidRPr="00302206" w:rsidRDefault="00E77A28" w:rsidP="005743F8">
      <w:pPr>
        <w:widowControl w:val="0"/>
        <w:tabs>
          <w:tab w:val="left" w:pos="709"/>
        </w:tabs>
        <w:overflowPunct w:val="0"/>
        <w:autoSpaceDE w:val="0"/>
        <w:autoSpaceDN w:val="0"/>
        <w:adjustRightInd w:val="0"/>
        <w:spacing w:before="80" w:after="80" w:line="240" w:lineRule="auto"/>
        <w:jc w:val="both"/>
        <w:rPr>
          <w:b/>
          <w:bCs/>
          <w:szCs w:val="28"/>
        </w:rPr>
      </w:pPr>
      <w:r w:rsidRPr="00302206">
        <w:rPr>
          <w:b/>
          <w:bCs/>
          <w:szCs w:val="28"/>
        </w:rPr>
        <w:t>Cơ sở kế toán về giả định hoạt động liên tục</w:t>
      </w:r>
    </w:p>
    <w:p w:rsidR="00E77A28" w:rsidRPr="00302206" w:rsidRDefault="00E77A28" w:rsidP="005743F8">
      <w:pPr>
        <w:widowControl w:val="0"/>
        <w:numPr>
          <w:ilvl w:val="0"/>
          <w:numId w:val="15"/>
        </w:numPr>
        <w:tabs>
          <w:tab w:val="left" w:pos="426"/>
        </w:tabs>
        <w:overflowPunct w:val="0"/>
        <w:autoSpaceDE w:val="0"/>
        <w:autoSpaceDN w:val="0"/>
        <w:adjustRightInd w:val="0"/>
        <w:spacing w:before="80" w:after="80" w:line="240" w:lineRule="auto"/>
        <w:ind w:left="567" w:hanging="567"/>
        <w:jc w:val="both"/>
        <w:rPr>
          <w:bCs/>
          <w:szCs w:val="28"/>
        </w:rPr>
      </w:pPr>
      <w:r w:rsidRPr="00302206">
        <w:rPr>
          <w:bCs/>
          <w:szCs w:val="28"/>
        </w:rPr>
        <w:t xml:space="preserve"> Theo cơ sở kế toán về giả định hoạt động liên tục, báo cáo tài chính được lập trên giả định là đơn vị hoạt động liên tục và sẽ tiếp tục hoạt động trong tương lai có thể dự đoán được. Báo cáo tài chính cho mục đích chung được lập trên cơ sở hoạt động liên tục, trừ khi lãnh đạo đơn vị có ý định hoặc do nguyên nhân khác buộc phải ngừng hoạt động hoặc giải thể đơn vị. Báo cáo tài chính cho mục đích đặc biệt có thể được lập hoặc không được lập theo khuôn khổ về lập và trình bày báo cáo tài chính có quy định về cơ sở kế toán về giả định hoạt động liên tục. Khi sử dụng cơ sở kế toán về giả định hoạt động liên tục để lập và trình bày báo cáo tài chính là phù hợp, tài sản và nợ phải trả được ghi nhận dựa trên cơ sở là đơn vị có thể thực hiện được giá trị tài sản và thanh toán được các khoản nợ phải trả của mình trong điều kiện hoạt động bình thường. </w:t>
      </w:r>
    </w:p>
    <w:p w:rsidR="00E77A28" w:rsidRPr="00302206" w:rsidRDefault="00E77A28" w:rsidP="005743F8">
      <w:pPr>
        <w:widowControl w:val="0"/>
        <w:tabs>
          <w:tab w:val="left" w:pos="709"/>
        </w:tabs>
        <w:overflowPunct w:val="0"/>
        <w:autoSpaceDE w:val="0"/>
        <w:autoSpaceDN w:val="0"/>
        <w:adjustRightInd w:val="0"/>
        <w:spacing w:before="80" w:after="80" w:line="240" w:lineRule="auto"/>
        <w:jc w:val="both"/>
        <w:rPr>
          <w:b/>
          <w:bCs/>
          <w:szCs w:val="28"/>
        </w:rPr>
      </w:pPr>
      <w:r w:rsidRPr="00302206">
        <w:rPr>
          <w:b/>
          <w:bCs/>
          <w:szCs w:val="28"/>
        </w:rPr>
        <w:t>Trách nhiệm trong việc đánh giá khả năng hoạt động liên tục của đơn vị được kiểm toán</w:t>
      </w:r>
    </w:p>
    <w:p w:rsidR="00E77A28" w:rsidRPr="00302206" w:rsidRDefault="00E77A28" w:rsidP="005743F8">
      <w:pPr>
        <w:widowControl w:val="0"/>
        <w:tabs>
          <w:tab w:val="left" w:pos="709"/>
        </w:tabs>
        <w:overflowPunct w:val="0"/>
        <w:autoSpaceDE w:val="0"/>
        <w:autoSpaceDN w:val="0"/>
        <w:adjustRightInd w:val="0"/>
        <w:spacing w:before="80" w:after="80" w:line="240" w:lineRule="auto"/>
        <w:jc w:val="both"/>
        <w:rPr>
          <w:b/>
          <w:bCs/>
          <w:i/>
          <w:szCs w:val="28"/>
        </w:rPr>
      </w:pPr>
      <w:r w:rsidRPr="00302206">
        <w:rPr>
          <w:b/>
          <w:bCs/>
          <w:i/>
          <w:szCs w:val="28"/>
        </w:rPr>
        <w:t>Trách nhiệm của đơn vị được kiểm toán</w:t>
      </w:r>
    </w:p>
    <w:p w:rsidR="00E77A28" w:rsidRPr="00302206" w:rsidRDefault="00E77A28" w:rsidP="005743F8">
      <w:pPr>
        <w:widowControl w:val="0"/>
        <w:numPr>
          <w:ilvl w:val="0"/>
          <w:numId w:val="15"/>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Khi lập và trình bày báo cáo tài chính, đơn vị được kiểm toán phải có trách nhiệm xem xét, đánh giá và trình bày khả năng hoạt động liên tục của đơn vị.</w:t>
      </w:r>
    </w:p>
    <w:p w:rsidR="00E77A28" w:rsidRPr="00302206" w:rsidRDefault="00E77A28" w:rsidP="005743F8">
      <w:pPr>
        <w:widowControl w:val="0"/>
        <w:numPr>
          <w:ilvl w:val="0"/>
          <w:numId w:val="15"/>
        </w:numPr>
        <w:tabs>
          <w:tab w:val="left" w:pos="567"/>
        </w:tabs>
        <w:overflowPunct w:val="0"/>
        <w:autoSpaceDE w:val="0"/>
        <w:autoSpaceDN w:val="0"/>
        <w:adjustRightInd w:val="0"/>
        <w:spacing w:before="80" w:after="80" w:line="240" w:lineRule="auto"/>
        <w:ind w:left="567" w:hanging="568"/>
        <w:jc w:val="both"/>
        <w:rPr>
          <w:szCs w:val="28"/>
        </w:rPr>
      </w:pPr>
      <w:r w:rsidRPr="00302206">
        <w:rPr>
          <w:szCs w:val="28"/>
        </w:rPr>
        <w:t>Đánh giá của đơn vị được kiểm toán về khả năng hoạt động liên tục của đơn vị liên quan đến việc thực hiện xét đoán tại một thời điểm nhất định về kết quả không chắc chắn trong tương lai của các sự kiện hoặc điều kiện. Các yếu tố liên quan đến xét đoán đó bao gồm:</w:t>
      </w:r>
    </w:p>
    <w:p w:rsidR="00E77A28" w:rsidRPr="00302206" w:rsidRDefault="00E77A28" w:rsidP="005743F8">
      <w:pPr>
        <w:widowControl w:val="0"/>
        <w:numPr>
          <w:ilvl w:val="1"/>
          <w:numId w:val="15"/>
        </w:numPr>
        <w:tabs>
          <w:tab w:val="left" w:pos="1276"/>
        </w:tabs>
        <w:overflowPunct w:val="0"/>
        <w:autoSpaceDE w:val="0"/>
        <w:autoSpaceDN w:val="0"/>
        <w:adjustRightInd w:val="0"/>
        <w:spacing w:before="80" w:after="80" w:line="240" w:lineRule="auto"/>
        <w:ind w:left="1276" w:hanging="709"/>
        <w:jc w:val="both"/>
        <w:rPr>
          <w:szCs w:val="28"/>
        </w:rPr>
      </w:pPr>
      <w:r w:rsidRPr="00302206">
        <w:rPr>
          <w:szCs w:val="28"/>
        </w:rPr>
        <w:t>Sự kiện, điều kiện hoặc kết quả diễn ra tại một thời điểm càng xa trong tương lai thì mức độ không chắc chắn về kết quả của sự kiện hay điều kiện đó càng tăng lên đáng kể. Vì vậy, hầu hết các khuôn khổ về lập và trình bày báo cáo tài chính có quy định về việc đánh giá của đơn vị đều chỉ rõ giai đoạn mà đơn vị phải xem xét tất cả các thông tin sẵn có trong giai đoạn đó;</w:t>
      </w:r>
    </w:p>
    <w:p w:rsidR="00E77A28" w:rsidRPr="00302206" w:rsidRDefault="00E77A28" w:rsidP="005743F8">
      <w:pPr>
        <w:widowControl w:val="0"/>
        <w:numPr>
          <w:ilvl w:val="1"/>
          <w:numId w:val="15"/>
        </w:numPr>
        <w:tabs>
          <w:tab w:val="left" w:pos="1276"/>
        </w:tabs>
        <w:overflowPunct w:val="0"/>
        <w:autoSpaceDE w:val="0"/>
        <w:autoSpaceDN w:val="0"/>
        <w:adjustRightInd w:val="0"/>
        <w:spacing w:before="80" w:after="80" w:line="240" w:lineRule="auto"/>
        <w:ind w:left="1276" w:hanging="709"/>
        <w:jc w:val="both"/>
        <w:rPr>
          <w:szCs w:val="28"/>
        </w:rPr>
      </w:pPr>
      <w:r w:rsidRPr="00302206">
        <w:rPr>
          <w:szCs w:val="28"/>
        </w:rPr>
        <w:t>Quy mô và tính chất phức tạp, đặc điểm và điều kiện hoạt động của đơn vị cũng như mức độ đơn vị bị ảnh hưởng bởi các yếu tố bên ngoài đều có thể ảnh hưởng đến xét đoán liên quan tới kết quả của các sự kiện hoặc điều kiện. Bất kỳ xét đoán nào về tương lai đều dựa trên các thông tin sẵn có tại thời điểm xét đoán. Các sự kiện phát sinh sau đó có thể đem lại những kết quả khác biệt với các xét đoán đã được coi là hợp lý tại thời điểm xét đoán.</w:t>
      </w:r>
    </w:p>
    <w:p w:rsidR="00E77A28" w:rsidRPr="00302206" w:rsidRDefault="00E77A28" w:rsidP="005743F8">
      <w:pPr>
        <w:widowControl w:val="0"/>
        <w:tabs>
          <w:tab w:val="left" w:pos="709"/>
        </w:tabs>
        <w:overflowPunct w:val="0"/>
        <w:autoSpaceDE w:val="0"/>
        <w:autoSpaceDN w:val="0"/>
        <w:adjustRightInd w:val="0"/>
        <w:spacing w:before="80" w:after="80" w:line="240" w:lineRule="auto"/>
        <w:jc w:val="both"/>
        <w:rPr>
          <w:b/>
          <w:i/>
          <w:szCs w:val="28"/>
        </w:rPr>
      </w:pPr>
      <w:r w:rsidRPr="00302206">
        <w:rPr>
          <w:b/>
          <w:i/>
          <w:szCs w:val="28"/>
        </w:rPr>
        <w:t>Trách nhiệm của kiểm toán viên nhà nước</w:t>
      </w:r>
    </w:p>
    <w:p w:rsidR="00E77A28" w:rsidRPr="00302206" w:rsidRDefault="00E77A28" w:rsidP="005743F8">
      <w:pPr>
        <w:widowControl w:val="0"/>
        <w:numPr>
          <w:ilvl w:val="0"/>
          <w:numId w:val="15"/>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 xml:space="preserve">Kiểm toán viên nhà nước có trách nhiệm thu thập đầy đủ bằng chứng kiểm toán thích hợp về tính hợp lý của giả định hoạt động liên tục mà đơn vị được kiểm toán đã sử dụng khi lập và trình bày báo cáo tài chính và kết luận liệu còn có yếu tố không chắc chắn trọng yếu nào liên quan tới khả năng hoạt động liên tục của đơn vị hay không. Kiểm toán viên nhà nước vẫn có trách nhiệm này ngay cả khi khuôn khổ về lập và trình bày báo cáo tài chính được sử dụng để lập báo cáo </w:t>
      </w:r>
      <w:r w:rsidRPr="00302206">
        <w:rPr>
          <w:szCs w:val="28"/>
        </w:rPr>
        <w:lastRenderedPageBreak/>
        <w:t>không quy định rõ về việc đơn vị phải thực hiện đánh giá cụ thể về khả năng hoạt động liên tục của đơn vị.</w:t>
      </w:r>
    </w:p>
    <w:p w:rsidR="00E77A28" w:rsidRPr="00302206" w:rsidRDefault="00E77A28" w:rsidP="005743F8">
      <w:pPr>
        <w:widowControl w:val="0"/>
        <w:numPr>
          <w:ilvl w:val="0"/>
          <w:numId w:val="15"/>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Khả năng phát hiện sai sót trọng yếu của kiểm toán viên nhà nước có những hạn chế vốn có mà ảnh hưởng tiềm tàng của các hạn chế này là lớn hơn đối với các sự kiện hoặc điều kiện trong tương lai có thể dẫn đến khả năng đơn vị không thể hoạt động liên tục. Kiểm toán viên nhà nước không thể dự đoán được các sự kiện hoặc điều kiện này. Do đó, khi báo cáo kiểm toán không đề cập đến tính không chắc chắn về khả năng hoạt động liên tục của đơn vị được kiểm toán, điều đó không có nghĩa là khả năng hoạt động liên tục của đơn vị được kiểm toán đã được đảm bảo.</w:t>
      </w:r>
    </w:p>
    <w:p w:rsidR="00E77A28" w:rsidRPr="00302206" w:rsidRDefault="00E77A28" w:rsidP="005743F8">
      <w:pPr>
        <w:keepLines/>
        <w:widowControl w:val="0"/>
        <w:spacing w:before="80" w:after="80" w:line="240" w:lineRule="auto"/>
        <w:jc w:val="both"/>
        <w:outlineLvl w:val="0"/>
        <w:rPr>
          <w:rFonts w:eastAsia="Times New Roman"/>
          <w:b/>
          <w:bCs/>
          <w:szCs w:val="28"/>
        </w:rPr>
      </w:pPr>
      <w:r w:rsidRPr="00302206">
        <w:rPr>
          <w:rFonts w:eastAsia="Times New Roman"/>
          <w:b/>
          <w:bCs/>
          <w:szCs w:val="28"/>
        </w:rPr>
        <w:t>Thủ tục đánh giá rủi ro và các hoạt động liên quan</w:t>
      </w:r>
    </w:p>
    <w:p w:rsidR="00E77A28" w:rsidRPr="00302206" w:rsidRDefault="00E77A28" w:rsidP="005743F8">
      <w:pPr>
        <w:widowControl w:val="0"/>
        <w:numPr>
          <w:ilvl w:val="0"/>
          <w:numId w:val="15"/>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Khi thực hiện thủ tục đánh giá rủi ro, kiểm toán viên nhà nước phải xem xét các sự kiện hoặc điều kiện có thể dẫn đến nghi ngờ đáng kể về khả năng hoạt động liên tục của đơn vị được kiểm toán. Đồng thời, kiểm toán viên nhà nước phải xác định xem đơn vị được kiểm toán đã đánh giá về khả năng hoạt động liên tục của đơn vị hay chưa:</w:t>
      </w:r>
    </w:p>
    <w:p w:rsidR="00E77A28" w:rsidRPr="00302206" w:rsidRDefault="00E77A28" w:rsidP="005743F8">
      <w:pPr>
        <w:widowControl w:val="0"/>
        <w:numPr>
          <w:ilvl w:val="1"/>
          <w:numId w:val="15"/>
        </w:numPr>
        <w:tabs>
          <w:tab w:val="left" w:pos="567"/>
          <w:tab w:val="left" w:pos="1276"/>
        </w:tabs>
        <w:overflowPunct w:val="0"/>
        <w:autoSpaceDE w:val="0"/>
        <w:autoSpaceDN w:val="0"/>
        <w:adjustRightInd w:val="0"/>
        <w:spacing w:before="80" w:after="80" w:line="240" w:lineRule="auto"/>
        <w:ind w:left="1276" w:hanging="709"/>
        <w:jc w:val="both"/>
        <w:rPr>
          <w:szCs w:val="28"/>
        </w:rPr>
      </w:pPr>
      <w:r w:rsidRPr="00302206">
        <w:rPr>
          <w:szCs w:val="28"/>
        </w:rPr>
        <w:t>Nếu đơn vị được kiểm toán đã đánh giá, kiểm toán viên nhà nước phải thảo luận với đơn vị về đánh giá đó và xác định xem đơn vị có nhận thấy các sự kiện hoặc điều kiện, xét riêng lẻ hay kết hợp lại, có thể dẫn đến nghi ngờ đáng kể về khả năng hoạt động liên tục của đơn vị hay không, và nếu có phải xem xét kế hoạch của đơn vị đối với vấn đề này; hoặc</w:t>
      </w:r>
    </w:p>
    <w:p w:rsidR="00E77A28" w:rsidRPr="00302206" w:rsidRDefault="00E77A28" w:rsidP="005743F8">
      <w:pPr>
        <w:widowControl w:val="0"/>
        <w:numPr>
          <w:ilvl w:val="1"/>
          <w:numId w:val="15"/>
        </w:numPr>
        <w:tabs>
          <w:tab w:val="left" w:pos="567"/>
          <w:tab w:val="left" w:pos="1276"/>
        </w:tabs>
        <w:overflowPunct w:val="0"/>
        <w:autoSpaceDE w:val="0"/>
        <w:autoSpaceDN w:val="0"/>
        <w:adjustRightInd w:val="0"/>
        <w:spacing w:before="80" w:after="80" w:line="240" w:lineRule="auto"/>
        <w:ind w:left="1276" w:hanging="709"/>
        <w:jc w:val="both"/>
        <w:rPr>
          <w:szCs w:val="28"/>
        </w:rPr>
      </w:pPr>
      <w:r w:rsidRPr="00302206">
        <w:rPr>
          <w:szCs w:val="28"/>
        </w:rPr>
        <w:t>Nếu đơn vị được kiểm toán chưa đánh giá, kiểm toán viên nhà nước phải thảo luận với đơn vị về cơ sở của dự định sử dụng giả định hoạt động liên tục và phỏng vấn đơn vị liệu có các sự kiện hoặc điều kiện, xét riêng lẻ hay kết hợp lại, có thể dẫn đến nghi ngờ đáng kể về khả năng hoạt động liên tục của đơn vị hay không.</w:t>
      </w:r>
    </w:p>
    <w:p w:rsidR="00E77A28" w:rsidRPr="00302206" w:rsidRDefault="00E77A28" w:rsidP="005743F8">
      <w:pPr>
        <w:widowControl w:val="0"/>
        <w:numPr>
          <w:ilvl w:val="0"/>
          <w:numId w:val="15"/>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Những sự kiện hoặc điều kiện, xét riêng lẻ hay kết hợp lại, có thể dẫn đến nghi ngờ đáng kể về giả định hoạt động liên tục của đơn vị mà kiểm toán viên nhà nước cần lưu ý và xem xét đánh giá rủi ro:</w:t>
      </w:r>
    </w:p>
    <w:p w:rsidR="00E77A28" w:rsidRPr="00302206" w:rsidRDefault="00E77A28" w:rsidP="005743F8">
      <w:pPr>
        <w:widowControl w:val="0"/>
        <w:spacing w:before="80" w:after="80" w:line="240" w:lineRule="auto"/>
        <w:ind w:left="567"/>
        <w:contextualSpacing/>
        <w:jc w:val="both"/>
        <w:rPr>
          <w:i/>
          <w:szCs w:val="28"/>
        </w:rPr>
      </w:pPr>
      <w:r w:rsidRPr="00302206">
        <w:rPr>
          <w:i/>
          <w:szCs w:val="28"/>
        </w:rPr>
        <w:t>Về tài chính</w:t>
      </w:r>
    </w:p>
    <w:p w:rsidR="00E77A28" w:rsidRPr="00302206" w:rsidRDefault="00E77A28" w:rsidP="005743F8">
      <w:pPr>
        <w:widowControl w:val="0"/>
        <w:numPr>
          <w:ilvl w:val="0"/>
          <w:numId w:val="9"/>
        </w:numPr>
        <w:tabs>
          <w:tab w:val="clear" w:pos="1080"/>
          <w:tab w:val="num" w:pos="1276"/>
        </w:tabs>
        <w:adjustRightInd w:val="0"/>
        <w:spacing w:before="80" w:after="80" w:line="240" w:lineRule="auto"/>
        <w:ind w:left="1276" w:hanging="709"/>
        <w:jc w:val="both"/>
        <w:rPr>
          <w:szCs w:val="28"/>
        </w:rPr>
      </w:pPr>
      <w:r w:rsidRPr="00302206">
        <w:rPr>
          <w:szCs w:val="28"/>
        </w:rPr>
        <w:t>Đơn vị lâm vào tình trạng nợ phải trả lớn hơn tài sản hoặc nợ phải trả ngắn hạn lớn hơn tài sản lưu động; trường hợp đơn vị công hoạt động trên cơ sở lợi nhuận, khi các khoản tài trợ của Chính phủ có thể bị cắt giảm hoặc bị thu hồi, hoặc trong trường hợp tư nhân hóa;</w:t>
      </w:r>
    </w:p>
    <w:p w:rsidR="00E77A28" w:rsidRPr="00302206" w:rsidRDefault="00E77A28" w:rsidP="005743F8">
      <w:pPr>
        <w:widowControl w:val="0"/>
        <w:numPr>
          <w:ilvl w:val="0"/>
          <w:numId w:val="9"/>
        </w:numPr>
        <w:tabs>
          <w:tab w:val="clear" w:pos="1080"/>
          <w:tab w:val="num" w:pos="1276"/>
        </w:tabs>
        <w:adjustRightInd w:val="0"/>
        <w:spacing w:before="80" w:after="80" w:line="240" w:lineRule="auto"/>
        <w:ind w:left="1276" w:hanging="709"/>
        <w:jc w:val="both"/>
        <w:rPr>
          <w:szCs w:val="28"/>
        </w:rPr>
      </w:pPr>
      <w:r w:rsidRPr="00302206">
        <w:rPr>
          <w:szCs w:val="28"/>
        </w:rPr>
        <w:t>Đơn vị có các khoản nợ dài hạn sắp đến hạn trả mà không có khả năng được giãn nợ hoặc không có khả năng thanh toán, hoặc đơn vị phụ thuộc quá nhiều vào các khoản vay ngắn hạn để tài trợ các tài sản dài hạn;</w:t>
      </w:r>
    </w:p>
    <w:p w:rsidR="00E77A28" w:rsidRPr="00302206" w:rsidRDefault="00E77A28" w:rsidP="005743F8">
      <w:pPr>
        <w:widowControl w:val="0"/>
        <w:numPr>
          <w:ilvl w:val="0"/>
          <w:numId w:val="9"/>
        </w:numPr>
        <w:tabs>
          <w:tab w:val="clear" w:pos="1080"/>
          <w:tab w:val="num" w:pos="1276"/>
        </w:tabs>
        <w:adjustRightInd w:val="0"/>
        <w:spacing w:before="80" w:after="80" w:line="240" w:lineRule="auto"/>
        <w:ind w:left="1276" w:hanging="709"/>
        <w:jc w:val="both"/>
        <w:rPr>
          <w:szCs w:val="28"/>
        </w:rPr>
      </w:pPr>
      <w:r w:rsidRPr="00302206">
        <w:rPr>
          <w:szCs w:val="28"/>
        </w:rPr>
        <w:t>Dấu hiệu về việc các chủ nợ ngừng hoặc thu hồi các hỗ trợ tài chính;</w:t>
      </w:r>
    </w:p>
    <w:p w:rsidR="00E77A28" w:rsidRPr="00302206" w:rsidRDefault="00E77A28" w:rsidP="005743F8">
      <w:pPr>
        <w:widowControl w:val="0"/>
        <w:numPr>
          <w:ilvl w:val="0"/>
          <w:numId w:val="9"/>
        </w:numPr>
        <w:tabs>
          <w:tab w:val="clear" w:pos="1080"/>
          <w:tab w:val="num" w:pos="1276"/>
        </w:tabs>
        <w:adjustRightInd w:val="0"/>
        <w:spacing w:before="80" w:after="80" w:line="240" w:lineRule="auto"/>
        <w:ind w:left="1276" w:hanging="709"/>
        <w:jc w:val="both"/>
        <w:rPr>
          <w:szCs w:val="28"/>
        </w:rPr>
      </w:pPr>
      <w:r w:rsidRPr="00302206">
        <w:rPr>
          <w:szCs w:val="28"/>
        </w:rPr>
        <w:t>Lưu chuyển tiền từ hoạt động kinh doanh bị âm thể hiện trên báo cáo tài chính hay dự báo trong tương lai;</w:t>
      </w:r>
    </w:p>
    <w:p w:rsidR="00E77A28" w:rsidRPr="00302206" w:rsidRDefault="00E77A28" w:rsidP="005743F8">
      <w:pPr>
        <w:widowControl w:val="0"/>
        <w:numPr>
          <w:ilvl w:val="0"/>
          <w:numId w:val="9"/>
        </w:numPr>
        <w:tabs>
          <w:tab w:val="clear" w:pos="1080"/>
          <w:tab w:val="num" w:pos="1276"/>
        </w:tabs>
        <w:adjustRightInd w:val="0"/>
        <w:spacing w:before="80" w:after="80" w:line="240" w:lineRule="auto"/>
        <w:ind w:left="1276" w:hanging="709"/>
        <w:jc w:val="both"/>
        <w:rPr>
          <w:szCs w:val="28"/>
        </w:rPr>
      </w:pPr>
      <w:r w:rsidRPr="00302206">
        <w:rPr>
          <w:szCs w:val="28"/>
        </w:rPr>
        <w:t>Đơn vị có các chỉ số tài chính xấu hơn mức bình thường;</w:t>
      </w:r>
    </w:p>
    <w:p w:rsidR="00E77A28" w:rsidRPr="00302206" w:rsidRDefault="00E77A28" w:rsidP="005743F8">
      <w:pPr>
        <w:widowControl w:val="0"/>
        <w:numPr>
          <w:ilvl w:val="0"/>
          <w:numId w:val="9"/>
        </w:numPr>
        <w:tabs>
          <w:tab w:val="clear" w:pos="1080"/>
          <w:tab w:val="num" w:pos="1276"/>
        </w:tabs>
        <w:adjustRightInd w:val="0"/>
        <w:spacing w:before="80" w:after="80" w:line="240" w:lineRule="auto"/>
        <w:ind w:left="1276" w:hanging="709"/>
        <w:jc w:val="both"/>
        <w:rPr>
          <w:szCs w:val="28"/>
        </w:rPr>
      </w:pPr>
      <w:r w:rsidRPr="00302206">
        <w:rPr>
          <w:szCs w:val="28"/>
        </w:rPr>
        <w:t>Lỗ hoạt động kinh doanh lớn hoặc có sự suy giảm lớn về giá trị của các tài sản được dùng để tạo ra các luồng tiền;</w:t>
      </w:r>
    </w:p>
    <w:p w:rsidR="00E77A28" w:rsidRPr="00302206" w:rsidRDefault="00E77A28" w:rsidP="005743F8">
      <w:pPr>
        <w:widowControl w:val="0"/>
        <w:numPr>
          <w:ilvl w:val="0"/>
          <w:numId w:val="9"/>
        </w:numPr>
        <w:tabs>
          <w:tab w:val="clear" w:pos="1080"/>
          <w:tab w:val="num" w:pos="1276"/>
        </w:tabs>
        <w:adjustRightInd w:val="0"/>
        <w:spacing w:before="80" w:after="80" w:line="240" w:lineRule="auto"/>
        <w:ind w:left="1276" w:hanging="709"/>
        <w:jc w:val="both"/>
        <w:rPr>
          <w:szCs w:val="28"/>
        </w:rPr>
      </w:pPr>
      <w:r w:rsidRPr="00302206">
        <w:rPr>
          <w:szCs w:val="28"/>
        </w:rPr>
        <w:lastRenderedPageBreak/>
        <w:t>Nợ tồn đọng hoặc ngừng thanh toán cổ tức;</w:t>
      </w:r>
    </w:p>
    <w:p w:rsidR="00E77A28" w:rsidRPr="00302206" w:rsidRDefault="00E77A28" w:rsidP="005743F8">
      <w:pPr>
        <w:widowControl w:val="0"/>
        <w:numPr>
          <w:ilvl w:val="0"/>
          <w:numId w:val="9"/>
        </w:numPr>
        <w:tabs>
          <w:tab w:val="clear" w:pos="1080"/>
          <w:tab w:val="num" w:pos="1276"/>
        </w:tabs>
        <w:adjustRightInd w:val="0"/>
        <w:spacing w:before="80" w:after="80" w:line="240" w:lineRule="auto"/>
        <w:ind w:left="1276" w:hanging="709"/>
        <w:jc w:val="both"/>
        <w:rPr>
          <w:szCs w:val="28"/>
        </w:rPr>
      </w:pPr>
      <w:r w:rsidRPr="00302206">
        <w:rPr>
          <w:szCs w:val="28"/>
        </w:rPr>
        <w:t>Không có khả năng thanh toán nợ khi đến hạn;</w:t>
      </w:r>
    </w:p>
    <w:p w:rsidR="00E77A28" w:rsidRPr="00302206" w:rsidRDefault="00E77A28" w:rsidP="005743F8">
      <w:pPr>
        <w:widowControl w:val="0"/>
        <w:numPr>
          <w:ilvl w:val="0"/>
          <w:numId w:val="9"/>
        </w:numPr>
        <w:tabs>
          <w:tab w:val="clear" w:pos="1080"/>
          <w:tab w:val="num" w:pos="1276"/>
        </w:tabs>
        <w:adjustRightInd w:val="0"/>
        <w:spacing w:before="80" w:after="80" w:line="240" w:lineRule="auto"/>
        <w:ind w:left="1276" w:hanging="709"/>
        <w:jc w:val="both"/>
        <w:rPr>
          <w:szCs w:val="28"/>
        </w:rPr>
      </w:pPr>
      <w:r w:rsidRPr="00302206">
        <w:rPr>
          <w:szCs w:val="28"/>
        </w:rPr>
        <w:t>Không có khả năng tuân thủ các điều khoản của hợp đồng tín dụng;</w:t>
      </w:r>
    </w:p>
    <w:p w:rsidR="00E77A28" w:rsidRPr="00302206" w:rsidRDefault="00E77A28" w:rsidP="005743F8">
      <w:pPr>
        <w:widowControl w:val="0"/>
        <w:numPr>
          <w:ilvl w:val="0"/>
          <w:numId w:val="9"/>
        </w:numPr>
        <w:tabs>
          <w:tab w:val="clear" w:pos="1080"/>
          <w:tab w:val="num" w:pos="1276"/>
        </w:tabs>
        <w:adjustRightInd w:val="0"/>
        <w:spacing w:before="80" w:after="80" w:line="240" w:lineRule="auto"/>
        <w:ind w:left="1276" w:hanging="709"/>
        <w:jc w:val="both"/>
        <w:rPr>
          <w:szCs w:val="28"/>
        </w:rPr>
      </w:pPr>
      <w:r w:rsidRPr="00302206">
        <w:rPr>
          <w:szCs w:val="28"/>
        </w:rPr>
        <w:t>Chuyển đổi từ các giao dịch mua chịu sang mua thanh toán ngay với các nhà cung cấp;</w:t>
      </w:r>
    </w:p>
    <w:p w:rsidR="00E77A28" w:rsidRPr="00302206" w:rsidRDefault="00E77A28" w:rsidP="005743F8">
      <w:pPr>
        <w:widowControl w:val="0"/>
        <w:numPr>
          <w:ilvl w:val="0"/>
          <w:numId w:val="9"/>
        </w:numPr>
        <w:tabs>
          <w:tab w:val="clear" w:pos="1080"/>
          <w:tab w:val="num" w:pos="1276"/>
        </w:tabs>
        <w:adjustRightInd w:val="0"/>
        <w:spacing w:before="80" w:after="80" w:line="240" w:lineRule="auto"/>
        <w:ind w:left="1276" w:hanging="709"/>
        <w:jc w:val="both"/>
        <w:rPr>
          <w:szCs w:val="28"/>
        </w:rPr>
      </w:pPr>
      <w:r w:rsidRPr="00302206">
        <w:rPr>
          <w:szCs w:val="28"/>
        </w:rPr>
        <w:t>Không có khả năng tìm kiếm các nguồn tài trợ cho việc phát triển các sản phẩm mới thiết yếu hoặc các dự án đầu tư thiết yếu.</w:t>
      </w:r>
    </w:p>
    <w:p w:rsidR="00E77A28" w:rsidRPr="00302206" w:rsidRDefault="00E77A28" w:rsidP="005743F8">
      <w:pPr>
        <w:widowControl w:val="0"/>
        <w:tabs>
          <w:tab w:val="left" w:pos="1440"/>
        </w:tabs>
        <w:adjustRightInd w:val="0"/>
        <w:spacing w:before="80" w:after="80" w:line="240" w:lineRule="auto"/>
        <w:ind w:left="567"/>
        <w:jc w:val="both"/>
        <w:rPr>
          <w:i/>
          <w:szCs w:val="28"/>
        </w:rPr>
      </w:pPr>
      <w:r w:rsidRPr="00302206">
        <w:rPr>
          <w:i/>
          <w:szCs w:val="28"/>
        </w:rPr>
        <w:t>Về hoạt động</w:t>
      </w:r>
    </w:p>
    <w:p w:rsidR="00E77A28" w:rsidRPr="00302206" w:rsidRDefault="00E77A28" w:rsidP="005743F8">
      <w:pPr>
        <w:widowControl w:val="0"/>
        <w:numPr>
          <w:ilvl w:val="1"/>
          <w:numId w:val="15"/>
        </w:numPr>
        <w:tabs>
          <w:tab w:val="left" w:pos="1276"/>
        </w:tabs>
        <w:adjustRightInd w:val="0"/>
        <w:spacing w:before="80" w:after="80" w:line="240" w:lineRule="auto"/>
        <w:ind w:left="1276" w:hanging="709"/>
        <w:jc w:val="both"/>
        <w:rPr>
          <w:szCs w:val="28"/>
        </w:rPr>
      </w:pPr>
      <w:r w:rsidRPr="00302206">
        <w:rPr>
          <w:szCs w:val="28"/>
        </w:rPr>
        <w:t xml:space="preserve">Lãnh đạo có ý định ngừng hoạt động hoặc giải thể đơn vị. Các sự kiện hoặc điều kiện có thể dẫn đến nghi ngờ đáng kể về khả năng hoạt động liên tục của đơn vị trong lĩnh vực công có thể bao gồm trường hợp đơn vị thiếu nguồn tài trợ để tiếp tục hoạt động hoặc khi có chính sách ảnh hưởng đến các dịch vụ mà đơn vị cung cấp; </w:t>
      </w:r>
    </w:p>
    <w:p w:rsidR="00E77A28" w:rsidRPr="00302206" w:rsidRDefault="00E77A28" w:rsidP="005743F8">
      <w:pPr>
        <w:widowControl w:val="0"/>
        <w:numPr>
          <w:ilvl w:val="1"/>
          <w:numId w:val="15"/>
        </w:numPr>
        <w:tabs>
          <w:tab w:val="left" w:pos="1276"/>
        </w:tabs>
        <w:adjustRightInd w:val="0"/>
        <w:spacing w:before="80" w:after="80" w:line="240" w:lineRule="auto"/>
        <w:ind w:left="1276" w:hanging="709"/>
        <w:jc w:val="both"/>
        <w:rPr>
          <w:szCs w:val="28"/>
        </w:rPr>
      </w:pPr>
      <w:r w:rsidRPr="00302206">
        <w:rPr>
          <w:szCs w:val="28"/>
        </w:rPr>
        <w:t>Thiếu thành phần lãnh đạo chủ chốt mà không được thay thế hoặc bổ sung theo quy định;</w:t>
      </w:r>
    </w:p>
    <w:p w:rsidR="00E77A28" w:rsidRPr="00302206" w:rsidRDefault="00E77A28" w:rsidP="005743F8">
      <w:pPr>
        <w:widowControl w:val="0"/>
        <w:numPr>
          <w:ilvl w:val="1"/>
          <w:numId w:val="15"/>
        </w:numPr>
        <w:tabs>
          <w:tab w:val="left" w:pos="1276"/>
        </w:tabs>
        <w:adjustRightInd w:val="0"/>
        <w:spacing w:before="80" w:after="80" w:line="240" w:lineRule="auto"/>
        <w:ind w:left="1276" w:hanging="709"/>
        <w:jc w:val="both"/>
        <w:rPr>
          <w:szCs w:val="28"/>
        </w:rPr>
      </w:pPr>
      <w:r w:rsidRPr="00302206">
        <w:rPr>
          <w:szCs w:val="28"/>
        </w:rPr>
        <w:t>Mất một thị trường lớn, mất khách hàng quan trọng, mất quyền kinh doanh theo hình thức cấp phép, nhượng quyền thương mại hoặc mất nhà cung cấp quan trọng;</w:t>
      </w:r>
    </w:p>
    <w:p w:rsidR="00E77A28" w:rsidRPr="00302206" w:rsidRDefault="00E77A28" w:rsidP="005743F8">
      <w:pPr>
        <w:widowControl w:val="0"/>
        <w:numPr>
          <w:ilvl w:val="1"/>
          <w:numId w:val="15"/>
        </w:numPr>
        <w:tabs>
          <w:tab w:val="left" w:pos="1276"/>
        </w:tabs>
        <w:adjustRightInd w:val="0"/>
        <w:spacing w:before="80" w:after="80" w:line="240" w:lineRule="auto"/>
        <w:ind w:left="1276" w:hanging="709"/>
        <w:jc w:val="both"/>
        <w:rPr>
          <w:szCs w:val="28"/>
        </w:rPr>
      </w:pPr>
      <w:r w:rsidRPr="00302206">
        <w:rPr>
          <w:szCs w:val="28"/>
        </w:rPr>
        <w:t>Gặp các vấn đề khó khăn về lao động;</w:t>
      </w:r>
    </w:p>
    <w:p w:rsidR="00E77A28" w:rsidRPr="00302206" w:rsidRDefault="00E77A28" w:rsidP="005743F8">
      <w:pPr>
        <w:widowControl w:val="0"/>
        <w:numPr>
          <w:ilvl w:val="1"/>
          <w:numId w:val="15"/>
        </w:numPr>
        <w:tabs>
          <w:tab w:val="left" w:pos="1276"/>
        </w:tabs>
        <w:adjustRightInd w:val="0"/>
        <w:spacing w:before="80" w:after="80" w:line="240" w:lineRule="auto"/>
        <w:ind w:left="1276" w:hanging="709"/>
        <w:jc w:val="both"/>
        <w:rPr>
          <w:szCs w:val="28"/>
        </w:rPr>
      </w:pPr>
      <w:r w:rsidRPr="00302206">
        <w:rPr>
          <w:szCs w:val="28"/>
        </w:rPr>
        <w:t>Thiếu hụt vật tư đầu vào chủ yếu;</w:t>
      </w:r>
    </w:p>
    <w:p w:rsidR="00E77A28" w:rsidRPr="00302206" w:rsidRDefault="00E77A28" w:rsidP="005743F8">
      <w:pPr>
        <w:widowControl w:val="0"/>
        <w:numPr>
          <w:ilvl w:val="1"/>
          <w:numId w:val="15"/>
        </w:numPr>
        <w:tabs>
          <w:tab w:val="left" w:pos="1276"/>
        </w:tabs>
        <w:adjustRightInd w:val="0"/>
        <w:spacing w:before="80" w:after="80" w:line="240" w:lineRule="auto"/>
        <w:ind w:left="1276" w:hanging="709"/>
        <w:jc w:val="both"/>
        <w:rPr>
          <w:szCs w:val="28"/>
        </w:rPr>
      </w:pPr>
      <w:r w:rsidRPr="00302206">
        <w:rPr>
          <w:szCs w:val="28"/>
        </w:rPr>
        <w:t xml:space="preserve">Xuất hiện đối thủ cạnh tranh mới thành công hơn; </w:t>
      </w:r>
    </w:p>
    <w:p w:rsidR="00E77A28" w:rsidRPr="00302206" w:rsidRDefault="00E77A28" w:rsidP="005743F8">
      <w:pPr>
        <w:widowControl w:val="0"/>
        <w:tabs>
          <w:tab w:val="left" w:pos="1440"/>
        </w:tabs>
        <w:adjustRightInd w:val="0"/>
        <w:spacing w:before="80" w:after="80" w:line="240" w:lineRule="auto"/>
        <w:ind w:left="567"/>
        <w:jc w:val="both"/>
        <w:rPr>
          <w:i/>
          <w:szCs w:val="28"/>
        </w:rPr>
      </w:pPr>
      <w:r w:rsidRPr="00302206">
        <w:rPr>
          <w:i/>
          <w:szCs w:val="28"/>
        </w:rPr>
        <w:t>Các dấu hiệu khác</w:t>
      </w:r>
    </w:p>
    <w:p w:rsidR="00E77A28" w:rsidRPr="00302206" w:rsidRDefault="00E77A28" w:rsidP="005743F8">
      <w:pPr>
        <w:widowControl w:val="0"/>
        <w:numPr>
          <w:ilvl w:val="0"/>
          <w:numId w:val="16"/>
        </w:numPr>
        <w:adjustRightInd w:val="0"/>
        <w:spacing w:before="80" w:after="80" w:line="240" w:lineRule="auto"/>
        <w:jc w:val="both"/>
        <w:rPr>
          <w:szCs w:val="28"/>
        </w:rPr>
      </w:pPr>
      <w:r w:rsidRPr="00302206">
        <w:rPr>
          <w:szCs w:val="28"/>
        </w:rPr>
        <w:t>Không tuân thủ các quy định về góp vốn cũng như các quy định khác của pháp luật;</w:t>
      </w:r>
    </w:p>
    <w:p w:rsidR="00E77A28" w:rsidRPr="00302206" w:rsidRDefault="00E77A28" w:rsidP="005743F8">
      <w:pPr>
        <w:widowControl w:val="0"/>
        <w:numPr>
          <w:ilvl w:val="0"/>
          <w:numId w:val="16"/>
        </w:numPr>
        <w:adjustRightInd w:val="0"/>
        <w:spacing w:before="80" w:after="80" w:line="240" w:lineRule="auto"/>
        <w:jc w:val="both"/>
        <w:rPr>
          <w:szCs w:val="28"/>
        </w:rPr>
      </w:pPr>
      <w:r w:rsidRPr="00302206">
        <w:rPr>
          <w:szCs w:val="28"/>
        </w:rPr>
        <w:t>Đơn vị đang bị kiện và các vụ kiện này chưa được xử lý mà nếu đơn vị thua kiện có thể dẫn đến các khoản bồi thường không có khả năng đáp ứng được;</w:t>
      </w:r>
    </w:p>
    <w:p w:rsidR="00E77A28" w:rsidRPr="00302206" w:rsidRDefault="00E77A28" w:rsidP="005743F8">
      <w:pPr>
        <w:widowControl w:val="0"/>
        <w:numPr>
          <w:ilvl w:val="0"/>
          <w:numId w:val="16"/>
        </w:numPr>
        <w:adjustRightInd w:val="0"/>
        <w:spacing w:before="80" w:after="80" w:line="240" w:lineRule="auto"/>
        <w:jc w:val="both"/>
        <w:rPr>
          <w:szCs w:val="28"/>
        </w:rPr>
      </w:pPr>
      <w:r w:rsidRPr="00302206">
        <w:rPr>
          <w:szCs w:val="28"/>
        </w:rPr>
        <w:t>Thay đổi về pháp luật và các quy định hoặc chính sách của Nhà nước làm ảnh hưởng bất lợi tới đơn vị;</w:t>
      </w:r>
    </w:p>
    <w:p w:rsidR="00E77A28" w:rsidRPr="00302206" w:rsidRDefault="00E77A28" w:rsidP="005743F8">
      <w:pPr>
        <w:widowControl w:val="0"/>
        <w:numPr>
          <w:ilvl w:val="0"/>
          <w:numId w:val="16"/>
        </w:numPr>
        <w:adjustRightInd w:val="0"/>
        <w:spacing w:before="80" w:after="80" w:line="240" w:lineRule="auto"/>
        <w:jc w:val="both"/>
        <w:rPr>
          <w:szCs w:val="28"/>
        </w:rPr>
      </w:pPr>
      <w:r w:rsidRPr="00302206">
        <w:rPr>
          <w:szCs w:val="28"/>
        </w:rPr>
        <w:t>Xảy ra các rủi ro, tổn thất mà không được bảo hiểm hoặc bảo hiểm với giá trị thấp, kể cả trường hợp có dấu hiệu không thu hồi được các khoản nợ lớn.</w:t>
      </w:r>
    </w:p>
    <w:p w:rsidR="00E77A28" w:rsidRPr="00302206" w:rsidRDefault="00E77A28" w:rsidP="005743F8">
      <w:pPr>
        <w:widowControl w:val="0"/>
        <w:numPr>
          <w:ilvl w:val="0"/>
          <w:numId w:val="15"/>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Trong quá trình kiểm toán, kiểm toán viên nhà nước phải luôn cảnh giác với những bằng chứng kiểm toán về các sự kiện hoặc điều kiện có thể dẫn đến nghi ngờ đáng kể về khả năng hoạt động liên tục của đơn vị được kiểm toán. Nếu sau khi đã thực hiện đánh giá rủi ro, kiểm toán viên nhà nước mới phát hiện ra các sự kiện hoặc điều kiện có thể dẫn đến nghi ngờ đáng kể về khả năng hoạt động liên tục của đơn vị được kiểm toán thì ngoài việc phải tiến hành các thủ tục quy định tại Đoạn 16 Chuẩn mực này, kiểm toán viên nhà nước có thể cần xem xét lại đánh giá về rủi ro có sai sót trọng yếu. Sự tồn tại của các sự kiện hoặc điều kiện này có thể ảnh hưởng đến nội dung, lịch trình, phạm vi của các thủ tục kiểm toán tiếp theo đối với các rủi ro đã đánh giá.</w:t>
      </w:r>
    </w:p>
    <w:p w:rsidR="00E77A28" w:rsidRPr="00302206" w:rsidRDefault="00E77A28" w:rsidP="005743F8">
      <w:pPr>
        <w:keepLines/>
        <w:widowControl w:val="0"/>
        <w:spacing w:before="80" w:after="80" w:line="240" w:lineRule="auto"/>
        <w:jc w:val="both"/>
        <w:outlineLvl w:val="0"/>
        <w:rPr>
          <w:rFonts w:eastAsia="Times New Roman"/>
          <w:b/>
          <w:bCs/>
          <w:szCs w:val="28"/>
        </w:rPr>
      </w:pPr>
      <w:bookmarkStart w:id="0" w:name="OLE_LINK1"/>
      <w:r w:rsidRPr="00302206">
        <w:rPr>
          <w:rFonts w:eastAsia="Times New Roman"/>
          <w:b/>
          <w:bCs/>
          <w:szCs w:val="28"/>
        </w:rPr>
        <w:lastRenderedPageBreak/>
        <w:t xml:space="preserve">Xem xét các đánh giá của đơn vị được kiểm toán </w:t>
      </w:r>
    </w:p>
    <w:bookmarkEnd w:id="0"/>
    <w:p w:rsidR="00E77A28" w:rsidRPr="00302206" w:rsidRDefault="00E77A28" w:rsidP="005743F8">
      <w:pPr>
        <w:widowControl w:val="0"/>
        <w:numPr>
          <w:ilvl w:val="0"/>
          <w:numId w:val="15"/>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Kiểm toán viên nhà nước phải xem xét các đánh giá của đơn vị được kiểm toán về khả năng hoạt động liên tục của đơn vị. Kiểm toán viên nhà nước không có trách nhiệm sửa đổi bổ sung việc đơn vị chưa thực hiện đầy đủ các thủ tục phân tích cần thiết. Trong một số trường hợp, kiểm toán viên nhà nước vẫn có thể đưa ra kết luận về tính hợp lý của việc đơn vị sử dụng giả định hoạt động liên tục ngay cả khi đơn vị không thực hiện đầy đủ các phân tích chi tiết để hỗ trợ cho đánh giá của mình. Chẳng hạn nếu đơn vị được kiểm toán hoạt động liên tục có lãi và có khả năng tiếp cận dễ dàng với các nguồn lực tài chính, đơn vị có thể đánh giá mà không cần thực hiện các phân tích chi tiết. Trong các trường hợp khác, để xem xét các đánh giá của đơn vị về khả năng hoạt động liên tục của đơn vị, kiểm toán viên nhà nước có thể xem xét các vấn đề như quy trình mà đơn vị đưa ra đánh giá, các giả định đã được sử dụng làm cơ sở để đánh giá, kế hoạch hành động của đơn vị trong tương lai và tính khả thi của các kế hoạch đó.</w:t>
      </w:r>
    </w:p>
    <w:p w:rsidR="00E77A28" w:rsidRPr="00302206" w:rsidRDefault="00E77A28" w:rsidP="005743F8">
      <w:pPr>
        <w:widowControl w:val="0"/>
        <w:numPr>
          <w:ilvl w:val="0"/>
          <w:numId w:val="15"/>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Khi xem xét các đánh giá của đơn vị được kiểm toán về khả năng hoạt động liên tục của đơn vị, kiểm toán viên nhà nước phải xem xét trong cùng giai đoạn mà đơn vị đã sử dụng để đánh giá theo yêu cầu của khuôn khổ về lập và trình bày báo cáo tài chính được áp dụng, hoặc theo pháp luật và các quy định. Nếu đánh giá của đơn vị về khả năng hoạt động liên tục của đơn vị được thực hiện cho giai đoạn ít hơn 12 tháng kể từ ngày kết thúc kỳ kế toán, kiểm toán viên nhà nước phải yêu cầu đơn vị được kiểm toán kéo dài giai đoạn đánh giá tới ít nhất là 12 tháng kể từ ngày kết thúc kỳ kế toán.</w:t>
      </w:r>
    </w:p>
    <w:p w:rsidR="00E77A28" w:rsidRPr="00302206" w:rsidRDefault="00E77A28" w:rsidP="005743F8">
      <w:pPr>
        <w:widowControl w:val="0"/>
        <w:numPr>
          <w:ilvl w:val="0"/>
          <w:numId w:val="15"/>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Khi xem xét các đánh giá của đơn vị được kiểm toán, kiểm toán viên nhà nước phải xem xét liệu các đánh giá của đơn vị đã bao gồm tất cả các thông tin liên quan sẵn có mà kiểm toán viên nhà nước biết được từ kết quả của cuộc kiểm toán hay chưa.</w:t>
      </w:r>
    </w:p>
    <w:p w:rsidR="00E77A28" w:rsidRPr="00302206" w:rsidRDefault="00E77A28" w:rsidP="005743F8">
      <w:pPr>
        <w:widowControl w:val="0"/>
        <w:numPr>
          <w:ilvl w:val="0"/>
          <w:numId w:val="15"/>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Kiểm toán viên nhà nước phải phỏng vấn đơn vị được kiểm toán về các hiểu biết đối với các sự kiện hoặc điều kiện phát sinh sau giai đoạn đã được đơn vị đánh giá mà các sự kiện hoặc điều kiện này có thể dẫn đến nghi ngờ đáng kể về khả năng hoạt động liên tục của đơn vị được kiểm toán. Khi xem xét các sự kiện hoặc điều kiện xảy ra trong tương lai xa, kiểm toán viên nhà nước phải xem xét các dấu hiệu về khả năng hoạt động liên tục trước khi cân nhắc thực hiện các hành động tiếp theo. Nếu phát hiện được các sự kiện hoặc điều kiện như vậy, kiểm toán viên nhà nước cần yêu cầu đơn vị được kiểm toán xem xét ảnh hưởng tiềm tàng của sự kiện hoặc điều kiện đó đến đánh giá của đơn vị về khả năng hoạt động liên tục của đơn vị. Trong những trường hợp như vậy, kiểm toán viên nhà nước phải áp dụng các thủ tục quy định tại Đoạn 16 Chuẩn mực này.</w:t>
      </w:r>
    </w:p>
    <w:p w:rsidR="00E77A28" w:rsidRPr="00302206" w:rsidRDefault="00E77A28" w:rsidP="005743F8">
      <w:pPr>
        <w:widowControl w:val="0"/>
        <w:tabs>
          <w:tab w:val="left" w:pos="709"/>
        </w:tabs>
        <w:overflowPunct w:val="0"/>
        <w:autoSpaceDE w:val="0"/>
        <w:autoSpaceDN w:val="0"/>
        <w:adjustRightInd w:val="0"/>
        <w:spacing w:before="80" w:after="80" w:line="240" w:lineRule="auto"/>
        <w:ind w:left="-1"/>
        <w:jc w:val="both"/>
        <w:rPr>
          <w:szCs w:val="28"/>
        </w:rPr>
      </w:pPr>
      <w:r w:rsidRPr="00302206">
        <w:rPr>
          <w:rFonts w:eastAsia="Times New Roman"/>
          <w:b/>
          <w:bCs/>
          <w:szCs w:val="28"/>
        </w:rPr>
        <w:t>Thủ tục kiểm toán bổ sung khi kiểm toán viên nhà nước nhận thấy các sự kiện hoặc điều kiện dẫn đến nghi ngờ đáng kể về khả năng hoạt động liên tục của đơn vị</w:t>
      </w:r>
    </w:p>
    <w:p w:rsidR="00E77A28" w:rsidRPr="00302206" w:rsidRDefault="00E77A28" w:rsidP="005743F8">
      <w:pPr>
        <w:widowControl w:val="0"/>
        <w:numPr>
          <w:ilvl w:val="0"/>
          <w:numId w:val="15"/>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 xml:space="preserve">Khi nhận thấy các sự kiện hoặc điều kiện có thể dẫn đến nghi ngờ đáng kể về khả năng hoạt động liên tục của đơn vị được kiểm toán, kiểm toán viên nhà nước phải thực hiện các thủ tục kiểm toán bổ sung để thu thập đầy đủ bằng chứng kiểm toán thích hợp nhằm xác định xem có hay không có yếu tố không chắc chắn trọng yếu, kể cả việc xem xét các yếu tố giảm nhẹ. Các thủ tục này thường </w:t>
      </w:r>
      <w:r w:rsidRPr="00302206">
        <w:rPr>
          <w:szCs w:val="28"/>
        </w:rPr>
        <w:lastRenderedPageBreak/>
        <w:t xml:space="preserve">bao gồm:  </w:t>
      </w:r>
    </w:p>
    <w:p w:rsidR="00E77A28" w:rsidRPr="00302206" w:rsidRDefault="00E77A28" w:rsidP="005743F8">
      <w:pPr>
        <w:widowControl w:val="0"/>
        <w:numPr>
          <w:ilvl w:val="0"/>
          <w:numId w:val="10"/>
        </w:numPr>
        <w:tabs>
          <w:tab w:val="clear" w:pos="900"/>
          <w:tab w:val="num" w:pos="1276"/>
        </w:tabs>
        <w:spacing w:before="80" w:after="80" w:line="240" w:lineRule="auto"/>
        <w:ind w:left="1276" w:hanging="709"/>
        <w:jc w:val="both"/>
        <w:rPr>
          <w:szCs w:val="28"/>
        </w:rPr>
      </w:pPr>
      <w:r w:rsidRPr="00302206">
        <w:rPr>
          <w:szCs w:val="28"/>
        </w:rPr>
        <w:t>Yêu cầu đơn vị được kiểm toán đánh giá về khả năng hoạt động liên tục của đơn vị, nếu đơn vị chưa thực hiện đánh giá trước đó;</w:t>
      </w:r>
    </w:p>
    <w:p w:rsidR="00E77A28" w:rsidRPr="00302206" w:rsidRDefault="00E77A28" w:rsidP="005743F8">
      <w:pPr>
        <w:widowControl w:val="0"/>
        <w:numPr>
          <w:ilvl w:val="0"/>
          <w:numId w:val="10"/>
        </w:numPr>
        <w:tabs>
          <w:tab w:val="clear" w:pos="900"/>
          <w:tab w:val="num" w:pos="1276"/>
        </w:tabs>
        <w:spacing w:before="80" w:after="80" w:line="240" w:lineRule="auto"/>
        <w:ind w:left="1276" w:hanging="709"/>
        <w:jc w:val="both"/>
        <w:rPr>
          <w:szCs w:val="28"/>
        </w:rPr>
      </w:pPr>
      <w:r w:rsidRPr="00302206">
        <w:rPr>
          <w:szCs w:val="28"/>
        </w:rPr>
        <w:t>Xem xét các kế hoạch của đơn vị được kiểm toán về các hành động trong tương lai có liên quan đến đánh giá về khả năng hoạt động liên tục của đơn vị, đánh giá khả năng cải thiện tình hình cũng như tính khả thi của những kế hoạch này (chẳng hạn, kiểm toán viên nhà nước có thể phỏng vấn đơn vị về các kế hoạch cho tương lai, kế hoạch thanh lý tài sản, vay tiền hay tái cơ cấu các khoản nợ, cắt giảm hoặc tạm ngừng các khoản chi phí hay tăng vốn...);</w:t>
      </w:r>
    </w:p>
    <w:p w:rsidR="00E77A28" w:rsidRPr="00302206" w:rsidRDefault="00E77A28" w:rsidP="005743F8">
      <w:pPr>
        <w:widowControl w:val="0"/>
        <w:numPr>
          <w:ilvl w:val="0"/>
          <w:numId w:val="10"/>
        </w:numPr>
        <w:tabs>
          <w:tab w:val="clear" w:pos="900"/>
          <w:tab w:val="num" w:pos="1276"/>
        </w:tabs>
        <w:spacing w:before="80" w:after="80" w:line="240" w:lineRule="auto"/>
        <w:ind w:left="1276" w:hanging="709"/>
        <w:jc w:val="both"/>
        <w:rPr>
          <w:szCs w:val="28"/>
        </w:rPr>
      </w:pPr>
      <w:r w:rsidRPr="00302206">
        <w:rPr>
          <w:szCs w:val="28"/>
        </w:rPr>
        <w:t xml:space="preserve">Nếu đơn vị được kiểm toán đã lập kế hoạch dòng tiền và việc phân tích kế hoạch này là yếu tố quan trọng trong việc xem xét kết quả tương lai của các sự kiện hoặc điều kiện, khi đánh giá các kế hoạch của đơn vị về các hành động trong tương lai, kiểm toán viên nhà nước phải xác định xem có đủ bằng chứng củng cố cho các giả định dùng để lập kế hoạch dòng tiền hay không và đánh giá độ tin cậy của dữ liệu cơ bản được tạo ra để lập kế hoạch dòng tiền; </w:t>
      </w:r>
    </w:p>
    <w:p w:rsidR="00E77A28" w:rsidRPr="00302206" w:rsidRDefault="00E77A28" w:rsidP="005743F8">
      <w:pPr>
        <w:widowControl w:val="0"/>
        <w:numPr>
          <w:ilvl w:val="0"/>
          <w:numId w:val="10"/>
        </w:numPr>
        <w:tabs>
          <w:tab w:val="clear" w:pos="900"/>
          <w:tab w:val="num" w:pos="1276"/>
        </w:tabs>
        <w:spacing w:before="80" w:after="80" w:line="240" w:lineRule="auto"/>
        <w:ind w:left="1276" w:hanging="709"/>
        <w:jc w:val="both"/>
        <w:rPr>
          <w:szCs w:val="28"/>
        </w:rPr>
      </w:pPr>
      <w:r w:rsidRPr="00302206">
        <w:rPr>
          <w:szCs w:val="28"/>
        </w:rPr>
        <w:t>Xem xét xem có còn thông tin hay sự kiện bổ sung nào kể từ sau ngày đơn vị được kiểm toán đưa ra đánh giá;</w:t>
      </w:r>
    </w:p>
    <w:p w:rsidR="00E77A28" w:rsidRPr="00302206" w:rsidRDefault="00E77A28" w:rsidP="005743F8">
      <w:pPr>
        <w:widowControl w:val="0"/>
        <w:numPr>
          <w:ilvl w:val="0"/>
          <w:numId w:val="10"/>
        </w:numPr>
        <w:tabs>
          <w:tab w:val="clear" w:pos="900"/>
          <w:tab w:val="num" w:pos="1276"/>
        </w:tabs>
        <w:spacing w:before="80" w:after="80" w:line="240" w:lineRule="auto"/>
        <w:ind w:left="1276" w:hanging="709"/>
        <w:jc w:val="both"/>
        <w:rPr>
          <w:szCs w:val="28"/>
        </w:rPr>
      </w:pPr>
      <w:r w:rsidRPr="00302206">
        <w:rPr>
          <w:szCs w:val="28"/>
        </w:rPr>
        <w:t>Yêu cầu đơn vị được kiểm toán (trong phạm vi phù hợp) giải trình bằng văn bản về các kế hoạch hành động trong tương lai của họ và tính khả thi của các kế hoạch đó.</w:t>
      </w:r>
    </w:p>
    <w:p w:rsidR="00E77A28" w:rsidRPr="00302206" w:rsidRDefault="00E77A28" w:rsidP="005743F8">
      <w:pPr>
        <w:keepLines/>
        <w:widowControl w:val="0"/>
        <w:spacing w:before="80" w:after="80" w:line="240" w:lineRule="auto"/>
        <w:jc w:val="both"/>
        <w:outlineLvl w:val="0"/>
        <w:rPr>
          <w:rFonts w:eastAsia="Times New Roman"/>
          <w:b/>
          <w:bCs/>
          <w:szCs w:val="28"/>
        </w:rPr>
      </w:pPr>
      <w:r w:rsidRPr="00302206">
        <w:rPr>
          <w:rFonts w:eastAsia="Times New Roman"/>
          <w:b/>
          <w:bCs/>
          <w:szCs w:val="28"/>
        </w:rPr>
        <w:t>Trao đổi với đơn vị được kiểm toán</w:t>
      </w:r>
    </w:p>
    <w:p w:rsidR="00E77A28" w:rsidRPr="00302206" w:rsidRDefault="00E77A28" w:rsidP="005743F8">
      <w:pPr>
        <w:widowControl w:val="0"/>
        <w:numPr>
          <w:ilvl w:val="0"/>
          <w:numId w:val="15"/>
        </w:numPr>
        <w:spacing w:before="80" w:after="80" w:line="240" w:lineRule="auto"/>
        <w:ind w:left="567" w:hanging="567"/>
        <w:jc w:val="both"/>
        <w:rPr>
          <w:szCs w:val="28"/>
        </w:rPr>
      </w:pPr>
      <w:r w:rsidRPr="00302206">
        <w:rPr>
          <w:szCs w:val="28"/>
        </w:rPr>
        <w:t>Kiểm toán viên nhà nước phải trao đổi với đơn vị được kiểm toán về các sự kiện hoặc điều kiện đã xác định là có thể dẫn đến nghi ngờ đáng kể về khả năng hoạt động liên tục của đơn vị được kiểm toán, bao gồm các nội dung sau:</w:t>
      </w:r>
    </w:p>
    <w:p w:rsidR="00E77A28" w:rsidRPr="00302206" w:rsidRDefault="00E77A28" w:rsidP="005743F8">
      <w:pPr>
        <w:widowControl w:val="0"/>
        <w:numPr>
          <w:ilvl w:val="0"/>
          <w:numId w:val="14"/>
        </w:numPr>
        <w:tabs>
          <w:tab w:val="clear" w:pos="900"/>
          <w:tab w:val="num" w:pos="1276"/>
        </w:tabs>
        <w:spacing w:before="80" w:after="80" w:line="240" w:lineRule="auto"/>
        <w:ind w:left="1276" w:hanging="709"/>
        <w:jc w:val="both"/>
        <w:rPr>
          <w:szCs w:val="28"/>
        </w:rPr>
      </w:pPr>
      <w:r w:rsidRPr="00302206">
        <w:rPr>
          <w:szCs w:val="28"/>
        </w:rPr>
        <w:t>Các sự kiện hoặc điều kiện đó có tạo thành yếu tố không chắc chắn trọng yếu hay không;</w:t>
      </w:r>
    </w:p>
    <w:p w:rsidR="00E77A28" w:rsidRPr="00302206" w:rsidRDefault="00E77A28" w:rsidP="005743F8">
      <w:pPr>
        <w:widowControl w:val="0"/>
        <w:numPr>
          <w:ilvl w:val="0"/>
          <w:numId w:val="14"/>
        </w:numPr>
        <w:tabs>
          <w:tab w:val="clear" w:pos="900"/>
          <w:tab w:val="num" w:pos="1276"/>
        </w:tabs>
        <w:spacing w:before="80" w:after="80" w:line="240" w:lineRule="auto"/>
        <w:ind w:left="1276" w:hanging="709"/>
        <w:jc w:val="both"/>
        <w:rPr>
          <w:szCs w:val="28"/>
        </w:rPr>
      </w:pPr>
      <w:r w:rsidRPr="00302206">
        <w:rPr>
          <w:szCs w:val="28"/>
        </w:rPr>
        <w:t xml:space="preserve">Việc sử dụng giả định hoạt động liên tục có phù hợp trong việc lập và trình bày báo cáo tài chính hay không;  </w:t>
      </w:r>
    </w:p>
    <w:p w:rsidR="00E77A28" w:rsidRPr="00302206" w:rsidRDefault="00E77A28" w:rsidP="005743F8">
      <w:pPr>
        <w:widowControl w:val="0"/>
        <w:numPr>
          <w:ilvl w:val="0"/>
          <w:numId w:val="14"/>
        </w:numPr>
        <w:tabs>
          <w:tab w:val="clear" w:pos="900"/>
          <w:tab w:val="num" w:pos="1276"/>
        </w:tabs>
        <w:spacing w:before="80" w:after="80" w:line="240" w:lineRule="auto"/>
        <w:ind w:left="1276" w:hanging="709"/>
        <w:jc w:val="both"/>
        <w:rPr>
          <w:szCs w:val="28"/>
        </w:rPr>
      </w:pPr>
      <w:r w:rsidRPr="00302206">
        <w:rPr>
          <w:szCs w:val="28"/>
        </w:rPr>
        <w:t>Các thuyết minh có liên quan trong báo cáo tài chính có đầy đủ hay không.</w:t>
      </w:r>
    </w:p>
    <w:p w:rsidR="00E77A28" w:rsidRPr="00302206" w:rsidRDefault="00E77A28" w:rsidP="005743F8">
      <w:pPr>
        <w:keepLines/>
        <w:widowControl w:val="0"/>
        <w:spacing w:before="80" w:after="80" w:line="240" w:lineRule="auto"/>
        <w:jc w:val="both"/>
        <w:outlineLvl w:val="0"/>
        <w:rPr>
          <w:rFonts w:eastAsia="Times New Roman"/>
          <w:b/>
          <w:bCs/>
          <w:szCs w:val="28"/>
        </w:rPr>
      </w:pPr>
      <w:r w:rsidRPr="00302206">
        <w:rPr>
          <w:rFonts w:eastAsia="Times New Roman"/>
          <w:b/>
          <w:bCs/>
          <w:szCs w:val="28"/>
        </w:rPr>
        <w:t>Sự chậm trễ đáng kể trong việc phê duyệt báo cáo tài chính</w:t>
      </w:r>
    </w:p>
    <w:p w:rsidR="00E77A28" w:rsidRPr="00302206" w:rsidRDefault="00E77A28" w:rsidP="005743F8">
      <w:pPr>
        <w:widowControl w:val="0"/>
        <w:numPr>
          <w:ilvl w:val="0"/>
          <w:numId w:val="15"/>
        </w:numPr>
        <w:spacing w:before="80" w:after="80" w:line="240" w:lineRule="auto"/>
        <w:ind w:left="567" w:hanging="567"/>
        <w:jc w:val="both"/>
        <w:rPr>
          <w:szCs w:val="28"/>
        </w:rPr>
      </w:pPr>
      <w:r w:rsidRPr="00302206">
        <w:rPr>
          <w:szCs w:val="28"/>
        </w:rPr>
        <w:t>Khi có sự chậm trễ đáng kể của đơn vị được kiểm toán đối với việc phê duyệt báo cáo tài chính sau ngày kết thúc kỳ kế toán, kiểm toán viên nhà nước phải tìm hiểu lý do của sự chậm trễ đó. Nếu kiểm toán viên nhà nước tin rằng sự chậm trễ có thể do tác động của các sự kiện hoặc điều kiện liên quan đến việc đánh giá khả năng hoạt động liên tục của đơn vị được kiểm toán thì kiểm toán viên nhà nước phải thực hiện các thủ tục kiểm toán bổ sung cần thiết theo quy định tại Đoạn 16 Chuẩn mực này, cũng như xem xét ảnh hưởng đến kết luận của kiểm toán viên nhà nước về sự tồn tại của yếu tố không chắc chắn trọng yếu theo quy định tại Đoạn 19 Chuẩn mực này.</w:t>
      </w:r>
    </w:p>
    <w:p w:rsidR="00E77A28" w:rsidRPr="00302206" w:rsidRDefault="00E77A28" w:rsidP="005743F8">
      <w:pPr>
        <w:keepLines/>
        <w:widowControl w:val="0"/>
        <w:spacing w:before="80" w:after="80" w:line="240" w:lineRule="auto"/>
        <w:jc w:val="both"/>
        <w:outlineLvl w:val="0"/>
        <w:rPr>
          <w:rFonts w:eastAsia="Times New Roman"/>
          <w:b/>
          <w:bCs/>
          <w:szCs w:val="28"/>
        </w:rPr>
      </w:pPr>
      <w:r w:rsidRPr="00302206">
        <w:rPr>
          <w:rFonts w:eastAsia="Times New Roman"/>
          <w:b/>
          <w:bCs/>
          <w:szCs w:val="28"/>
        </w:rPr>
        <w:t>Kết luận của Kiểm toán nhà nước</w:t>
      </w:r>
    </w:p>
    <w:p w:rsidR="00E77A28" w:rsidRPr="00302206" w:rsidRDefault="00E77A28" w:rsidP="005743F8">
      <w:pPr>
        <w:widowControl w:val="0"/>
        <w:numPr>
          <w:ilvl w:val="0"/>
          <w:numId w:val="15"/>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 xml:space="preserve">Dựa vào những bằng chứng kiểm toán thu thập được, kiểm toán viên nhà nước </w:t>
      </w:r>
      <w:r w:rsidRPr="00302206">
        <w:rPr>
          <w:szCs w:val="28"/>
        </w:rPr>
        <w:lastRenderedPageBreak/>
        <w:t>phải sử dụng xét đoán của mình để kết luận xem có yếu tố không chắc chắn trọng yếu liên quan đến các sự kiện hoặc điều kiện, xét riêng lẻ hay kết hợp lại, có thể dẫn đến nghi ngờ đáng kể về khả năng hoạt động liên tục của đơn vị hay không. Yếu tố không chắc chắn trọng yếu tồn tại khi khả năng xảy ra cũng như ảnh hưởng tiềm tàng của yếu tố đó lớn tới mức mà kiểm toán viên nhà nước xét thấy cần phải trình bày rõ ràng về bản chất cũng như ảnh hưởng của yếu tố đó để đảm bảo:</w:t>
      </w:r>
    </w:p>
    <w:p w:rsidR="00E77A28" w:rsidRPr="00302206" w:rsidRDefault="00E77A28" w:rsidP="005743F8">
      <w:pPr>
        <w:widowControl w:val="0"/>
        <w:numPr>
          <w:ilvl w:val="0"/>
          <w:numId w:val="11"/>
        </w:numPr>
        <w:spacing w:before="80" w:after="80" w:line="240" w:lineRule="auto"/>
        <w:ind w:left="1276" w:hanging="709"/>
        <w:jc w:val="both"/>
        <w:rPr>
          <w:szCs w:val="28"/>
        </w:rPr>
      </w:pPr>
      <w:r w:rsidRPr="00302206">
        <w:rPr>
          <w:szCs w:val="28"/>
        </w:rPr>
        <w:t>Báo cáo tài chính được lập và trình bày trung thực và hợp lý, theo khuôn khổ về trình bày hợp lý; hoặc</w:t>
      </w:r>
    </w:p>
    <w:p w:rsidR="00E77A28" w:rsidRPr="00302206" w:rsidRDefault="00E77A28" w:rsidP="005743F8">
      <w:pPr>
        <w:widowControl w:val="0"/>
        <w:numPr>
          <w:ilvl w:val="0"/>
          <w:numId w:val="11"/>
        </w:numPr>
        <w:spacing w:before="80" w:after="80" w:line="240" w:lineRule="auto"/>
        <w:ind w:left="1276" w:hanging="709"/>
        <w:jc w:val="both"/>
        <w:rPr>
          <w:szCs w:val="28"/>
        </w:rPr>
      </w:pPr>
      <w:r w:rsidRPr="00302206">
        <w:rPr>
          <w:szCs w:val="28"/>
        </w:rPr>
        <w:t>Báo cáo tài chính không bị sai lệch, theo khuôn khổ về tuân thủ trong lập và trình bày báo cáo tài chính được áp dụng.</w:t>
      </w:r>
    </w:p>
    <w:p w:rsidR="00E77A28" w:rsidRPr="00302206" w:rsidRDefault="00E77A28" w:rsidP="005743F8">
      <w:pPr>
        <w:keepLines/>
        <w:widowControl w:val="0"/>
        <w:spacing w:before="80" w:after="80" w:line="240" w:lineRule="auto"/>
        <w:jc w:val="both"/>
        <w:outlineLvl w:val="0"/>
        <w:rPr>
          <w:rFonts w:eastAsia="Times New Roman"/>
          <w:b/>
          <w:bCs/>
          <w:szCs w:val="28"/>
        </w:rPr>
      </w:pPr>
      <w:r w:rsidRPr="00302206">
        <w:rPr>
          <w:rFonts w:eastAsia="Times New Roman"/>
          <w:b/>
          <w:bCs/>
          <w:szCs w:val="28"/>
        </w:rPr>
        <w:t xml:space="preserve">Việc sử dụng giả định hoạt động liên tục là phù hợp nhưng có yếu tố không chắc chắn trọng yếu </w:t>
      </w:r>
    </w:p>
    <w:p w:rsidR="00E77A28" w:rsidRPr="00302206" w:rsidRDefault="00E77A28" w:rsidP="005743F8">
      <w:pPr>
        <w:widowControl w:val="0"/>
        <w:numPr>
          <w:ilvl w:val="0"/>
          <w:numId w:val="15"/>
        </w:numPr>
        <w:tabs>
          <w:tab w:val="left" w:pos="567"/>
        </w:tabs>
        <w:overflowPunct w:val="0"/>
        <w:autoSpaceDE w:val="0"/>
        <w:autoSpaceDN w:val="0"/>
        <w:adjustRightInd w:val="0"/>
        <w:spacing w:before="80" w:after="80" w:line="240" w:lineRule="auto"/>
        <w:ind w:left="567" w:hanging="567"/>
        <w:jc w:val="both"/>
        <w:rPr>
          <w:szCs w:val="28"/>
        </w:rPr>
      </w:pPr>
      <w:r w:rsidRPr="00302206">
        <w:rPr>
          <w:szCs w:val="28"/>
        </w:rPr>
        <w:t>Trường hợp kiểm toán viên nhà nước kết luận rằng việc sử dụng giả định hoạt động liên tục là phù hợp nhưng có yếu tố không chắc chắn trọng yếu, kiểm toán viên nhà nước phải xác định xem báo cáo tài chính có đảm bảo các yêu cầu sau hay không:</w:t>
      </w:r>
    </w:p>
    <w:p w:rsidR="00E77A28" w:rsidRPr="00302206" w:rsidRDefault="00E77A28" w:rsidP="005743F8">
      <w:pPr>
        <w:widowControl w:val="0"/>
        <w:numPr>
          <w:ilvl w:val="0"/>
          <w:numId w:val="12"/>
        </w:numPr>
        <w:spacing w:before="80" w:after="80" w:line="240" w:lineRule="auto"/>
        <w:ind w:left="1276" w:hanging="709"/>
        <w:jc w:val="both"/>
        <w:rPr>
          <w:szCs w:val="28"/>
        </w:rPr>
      </w:pPr>
      <w:r w:rsidRPr="00302206">
        <w:rPr>
          <w:szCs w:val="28"/>
        </w:rPr>
        <w:t xml:space="preserve">Trình bày đầy đủ các sự kiện hoặc điều kiện chủ yếu có thể dẫn đến nghi ngờ đáng kể về khả năng hoạt động liên tục của đơn vị được kiểm toán và kế hoạch của đơn vị được kiểm toán đối với các sự kiện hoặc điều kiện này;  </w:t>
      </w:r>
    </w:p>
    <w:p w:rsidR="00E77A28" w:rsidRPr="00302206" w:rsidRDefault="00E77A28" w:rsidP="005743F8">
      <w:pPr>
        <w:widowControl w:val="0"/>
        <w:numPr>
          <w:ilvl w:val="0"/>
          <w:numId w:val="12"/>
        </w:numPr>
        <w:overflowPunct w:val="0"/>
        <w:autoSpaceDE w:val="0"/>
        <w:autoSpaceDN w:val="0"/>
        <w:adjustRightInd w:val="0"/>
        <w:spacing w:before="80" w:after="80" w:line="240" w:lineRule="auto"/>
        <w:ind w:left="1276" w:hanging="709"/>
        <w:jc w:val="both"/>
        <w:rPr>
          <w:szCs w:val="28"/>
        </w:rPr>
      </w:pPr>
      <w:r w:rsidRPr="00302206">
        <w:rPr>
          <w:szCs w:val="28"/>
        </w:rPr>
        <w:t>Trình bày rõ ràng có yếu tố không chắc chắn trọng yếu liên quan đến sự kiện hoặc điều kiện đó có thể dẫn đến nghi ngờ đáng kể về khả năng hoạt động liên tục của đơn vị được kiểm toán và do đó đơn vị có thể sẽ không thực hiện được giá trị tài sản và thanh toán các khoản nợ phải trả của mình trong điều kiện hoạt động bình thường.</w:t>
      </w:r>
    </w:p>
    <w:p w:rsidR="00E77A28" w:rsidRPr="00302206" w:rsidRDefault="00E77A28" w:rsidP="005743F8">
      <w:pPr>
        <w:widowControl w:val="0"/>
        <w:numPr>
          <w:ilvl w:val="0"/>
          <w:numId w:val="15"/>
        </w:numPr>
        <w:spacing w:before="80" w:after="80" w:line="240" w:lineRule="auto"/>
        <w:ind w:left="567" w:hanging="567"/>
        <w:jc w:val="both"/>
        <w:rPr>
          <w:szCs w:val="28"/>
        </w:rPr>
      </w:pPr>
      <w:r w:rsidRPr="00302206">
        <w:rPr>
          <w:szCs w:val="28"/>
        </w:rPr>
        <w:t>Nếu báo cáo tài chính của đơn vị được kiểm toán đã trình bày đầy đủ các nội dung theo quy định tại Đoạn 20 Chuẩn mực này, kiểm toán viên nhà nước phải đưa ra báo cáo kiểm toán với ý kiến chấp nhận toàn phần có đoạn “Vấn đề cần nhấn mạnh” nhằm:</w:t>
      </w:r>
    </w:p>
    <w:p w:rsidR="00E77A28" w:rsidRPr="00302206" w:rsidRDefault="00E77A28" w:rsidP="005743F8">
      <w:pPr>
        <w:widowControl w:val="0"/>
        <w:numPr>
          <w:ilvl w:val="0"/>
          <w:numId w:val="13"/>
        </w:numPr>
        <w:tabs>
          <w:tab w:val="clear" w:pos="900"/>
          <w:tab w:val="num" w:pos="1276"/>
        </w:tabs>
        <w:spacing w:before="80" w:after="80" w:line="240" w:lineRule="auto"/>
        <w:ind w:left="1276" w:hanging="709"/>
        <w:jc w:val="both"/>
        <w:rPr>
          <w:szCs w:val="28"/>
        </w:rPr>
      </w:pPr>
      <w:r w:rsidRPr="00302206">
        <w:rPr>
          <w:szCs w:val="28"/>
        </w:rPr>
        <w:t xml:space="preserve">Nêu bật sự tồn tại của yếu tố không chắc chắn trọng yếu liên quan đến sự kiện hoặc điều kiện có thể dẫn đến nghi ngờ đáng kể về khả năng hoạt động liên tục của đơn vị được kiểm toán;  </w:t>
      </w:r>
    </w:p>
    <w:p w:rsidR="00E77A28" w:rsidRPr="00302206" w:rsidRDefault="00E77A28" w:rsidP="005743F8">
      <w:pPr>
        <w:widowControl w:val="0"/>
        <w:numPr>
          <w:ilvl w:val="0"/>
          <w:numId w:val="13"/>
        </w:numPr>
        <w:tabs>
          <w:tab w:val="clear" w:pos="900"/>
          <w:tab w:val="num" w:pos="1276"/>
        </w:tabs>
        <w:spacing w:before="80" w:after="80" w:line="240" w:lineRule="auto"/>
        <w:ind w:left="1276" w:hanging="709"/>
        <w:jc w:val="both"/>
        <w:rPr>
          <w:szCs w:val="28"/>
        </w:rPr>
      </w:pPr>
      <w:r w:rsidRPr="00302206">
        <w:rPr>
          <w:szCs w:val="28"/>
        </w:rPr>
        <w:t>Lưu ý người đọc tới phần nội dung trong báo cáo kiểm toán đề cập về vấn đề này.</w:t>
      </w:r>
    </w:p>
    <w:p w:rsidR="00E77A28" w:rsidRPr="00302206" w:rsidRDefault="00E77A28" w:rsidP="005743F8">
      <w:pPr>
        <w:widowControl w:val="0"/>
        <w:spacing w:before="80" w:after="80" w:line="240" w:lineRule="auto"/>
        <w:ind w:left="567"/>
        <w:jc w:val="both"/>
        <w:rPr>
          <w:szCs w:val="28"/>
        </w:rPr>
      </w:pPr>
      <w:r w:rsidRPr="00302206">
        <w:rPr>
          <w:szCs w:val="28"/>
        </w:rPr>
        <w:t>Khi có nhiều yếu tố không chắc chắn trọng yếu có tính chất quan trọng đối với tổng thể báo cáo tài chính, kiểm toán viên nhà nước cần phải cân nhắc việc từ chối đưa ra ý kiến thay vì thêm đoạn “Vấn đề cần nhấn mạnh” vào báo cáo kiểm toán.</w:t>
      </w:r>
    </w:p>
    <w:p w:rsidR="00E77A28" w:rsidRPr="00302206" w:rsidRDefault="00E77A28" w:rsidP="005743F8">
      <w:pPr>
        <w:widowControl w:val="0"/>
        <w:numPr>
          <w:ilvl w:val="0"/>
          <w:numId w:val="15"/>
        </w:numPr>
        <w:spacing w:before="80" w:after="80" w:line="240" w:lineRule="auto"/>
        <w:ind w:left="567" w:hanging="567"/>
        <w:jc w:val="both"/>
        <w:rPr>
          <w:szCs w:val="28"/>
        </w:rPr>
      </w:pPr>
      <w:r w:rsidRPr="00302206">
        <w:rPr>
          <w:szCs w:val="28"/>
        </w:rPr>
        <w:t xml:space="preserve">Nếu báo cáo tài chính của đơn vị được kiểm toán không trình bày đầy đủ các nội dung theo quy định tại Đoạn 20 Chuẩn mực này, kiểm toán viên nhà nước phải đưa ra ý kiến ngoại trừ hoặc ý kiến trái ngược phù hợp với từng trường hợp cụ thể theo quy định tại CMKTNN 2705 - Ý kiến kiểm toán không phải ý kiến chấp nhận toàn phần trong báo cáo kiểm toán tài chính. Kiểm toán viên nhà nước phải </w:t>
      </w:r>
      <w:r w:rsidRPr="00302206">
        <w:rPr>
          <w:szCs w:val="28"/>
        </w:rPr>
        <w:lastRenderedPageBreak/>
        <w:t>nêu rõ trong báo cáo kiểm toán về sự tồn tại của yếu tố không chắc chắn trọng yếu có thể dẫn đến nghi ngờ đáng kể về khả năng hoạt động liên tục của đơn vị được kiểm toán.</w:t>
      </w:r>
    </w:p>
    <w:p w:rsidR="00E77A28" w:rsidRPr="00302206" w:rsidRDefault="00E77A28" w:rsidP="005743F8">
      <w:pPr>
        <w:widowControl w:val="0"/>
        <w:spacing w:before="80" w:after="80" w:line="240" w:lineRule="auto"/>
        <w:jc w:val="both"/>
        <w:rPr>
          <w:szCs w:val="28"/>
        </w:rPr>
      </w:pPr>
      <w:r w:rsidRPr="00302206">
        <w:rPr>
          <w:rFonts w:eastAsia="Times New Roman"/>
          <w:b/>
          <w:bCs/>
          <w:szCs w:val="28"/>
        </w:rPr>
        <w:t>Việc sử dụng giả định hoạt động liên tục là không phù hợp</w:t>
      </w:r>
    </w:p>
    <w:p w:rsidR="00E77A28" w:rsidRPr="003969FA" w:rsidRDefault="00E77A28" w:rsidP="005743F8">
      <w:pPr>
        <w:widowControl w:val="0"/>
        <w:numPr>
          <w:ilvl w:val="0"/>
          <w:numId w:val="15"/>
        </w:numPr>
        <w:spacing w:before="80" w:after="80" w:line="240" w:lineRule="auto"/>
        <w:ind w:left="567" w:hanging="567"/>
        <w:jc w:val="both"/>
        <w:rPr>
          <w:spacing w:val="-2"/>
          <w:szCs w:val="28"/>
        </w:rPr>
      </w:pPr>
      <w:r w:rsidRPr="003969FA">
        <w:rPr>
          <w:spacing w:val="-2"/>
          <w:szCs w:val="28"/>
        </w:rPr>
        <w:t>Nếu báo cáo tài chính được lập trên cơ sở hoạt động liên tục nhưng theo xét đoán của kiểm toán viên nhà nước, việc đơn vị được kiểm toán sử dụng giả định này là không phù hợp thì kiểm toán viên nhà nước phải đưa ra ý kiến kiểm toán trái ngược cho dù báo cáo tài chính của đơn vị được kiểm toán có hay không có thuyết minh về tính không phù hợp của giả định hoạt động liên tục mà đơn vị sử dụng.</w:t>
      </w:r>
    </w:p>
    <w:p w:rsidR="00E77A28" w:rsidRPr="00302206" w:rsidRDefault="00E77A28" w:rsidP="005743F8">
      <w:pPr>
        <w:widowControl w:val="0"/>
        <w:numPr>
          <w:ilvl w:val="0"/>
          <w:numId w:val="15"/>
        </w:numPr>
        <w:spacing w:before="80" w:after="80" w:line="240" w:lineRule="auto"/>
        <w:ind w:left="567" w:hanging="567"/>
        <w:jc w:val="both"/>
        <w:rPr>
          <w:szCs w:val="28"/>
        </w:rPr>
      </w:pPr>
      <w:r w:rsidRPr="00302206">
        <w:rPr>
          <w:szCs w:val="28"/>
        </w:rPr>
        <w:t>Nếu đơn vị được kiểm toán buộc phải lựa chọn lập báo cáo tài chính khi việc sử dụng giả định hoạt động liên tục là không phù hợp thì báo cáo tài chính được lập trên một cơ sở thay thế. Kiểm toán viên nhà nước có thể kiểm toán báo cáo tài chính này nếu xét thấy cơ sở thay thế là khuôn khổ về lập và trình bày báo cáo tài chính có thể chấp nhận được trong trường hợp đó. Với điều kiện là báo cáo tài chính có đủ thuyết minh cần thiết, kiểm toán viên nhà nước có thể đưa ra ý kiến kiểm toán chấp nhận toàn phần, tuy nhiên, vẫn có thể cân nhắc sự phù hợp hay cần thiết trình bày thêm đoạn “Vấn đề cần nhấn mạnh” trong báo cáo kiểm toán để lưu ý người sử dụng báo cáo về cơ sở thay thế và lý do sử dụng cơ sở thay thế đó.</w:t>
      </w:r>
    </w:p>
    <w:p w:rsidR="00E77A28" w:rsidRPr="00302206" w:rsidRDefault="00E77A28" w:rsidP="005743F8">
      <w:pPr>
        <w:keepLines/>
        <w:widowControl w:val="0"/>
        <w:spacing w:before="80" w:after="80" w:line="240" w:lineRule="auto"/>
        <w:jc w:val="both"/>
        <w:outlineLvl w:val="0"/>
        <w:rPr>
          <w:rFonts w:eastAsia="Times New Roman"/>
          <w:b/>
          <w:bCs/>
          <w:szCs w:val="28"/>
        </w:rPr>
      </w:pPr>
      <w:r w:rsidRPr="00302206">
        <w:rPr>
          <w:rFonts w:eastAsia="Times New Roman"/>
          <w:b/>
          <w:bCs/>
          <w:szCs w:val="28"/>
        </w:rPr>
        <w:t>Đơn vị được kiểm toán không thực hiện hoặc không mở rộng đánh giá về khả năng hoạt động liên tục theo yêu cầu của kiểm toán viên nhà nước</w:t>
      </w:r>
    </w:p>
    <w:p w:rsidR="00E77A28" w:rsidRPr="00302206" w:rsidRDefault="00E77A28" w:rsidP="005743F8">
      <w:pPr>
        <w:widowControl w:val="0"/>
        <w:numPr>
          <w:ilvl w:val="0"/>
          <w:numId w:val="15"/>
        </w:numPr>
        <w:spacing w:before="80" w:after="80" w:line="240" w:lineRule="auto"/>
        <w:ind w:left="567" w:hanging="567"/>
        <w:jc w:val="both"/>
        <w:rPr>
          <w:szCs w:val="28"/>
        </w:rPr>
      </w:pPr>
      <w:r w:rsidRPr="00302206">
        <w:rPr>
          <w:szCs w:val="28"/>
        </w:rPr>
        <w:t xml:space="preserve">Nếu đơn vị được kiểm toán không thực hiện hoặc không mở rộng đánh giá về khả năng hoạt động liên tục theo yêu cầu của kiểm toán viên nhà nước thì kiểm toán viên nhà nước phải cân nhắc ảnh hưởng của vấn đề này đối với báo cáo kiểm toán. Trong một số trường hợp, kiểm toán viên nhà nước cần phải yêu cầu đơn vị thực hiện đánh giá hoặc mở rộng đánh giá về khả năng hoạt động liên tục, nếu đơn vị được kiểm toán không sẵn sàng thực hiện yêu cầu này, kiểm toán viên nhà nước có thể đưa ra ý kiến ngoại trừ hoặc từ chối đưa ra ý kiến trong báo cáo kiểm toán vì kiểm toán viên nhà nước có thể không thu thập được bằng chứng kiểm toán phù hợp liên quan đến việc sử dụng cơ sở hoạt động liên tục trong kế toán của lãnh đạo khi xây dựng báo cáo tài chính, như bằng chứng kiểm toán liên quan đến sự tồn tại của các kế hoạch mà lãnh đạo đã đưa ra hoặc sự tồn tại của các yếu tố giảm nhẹ khác. </w:t>
      </w:r>
    </w:p>
    <w:p w:rsidR="00E77A28" w:rsidRPr="00302206" w:rsidRDefault="00E77A28" w:rsidP="005743F8">
      <w:pPr>
        <w:widowControl w:val="0"/>
        <w:spacing w:before="80" w:after="80" w:line="240" w:lineRule="auto"/>
        <w:jc w:val="both"/>
        <w:rPr>
          <w:b/>
          <w:szCs w:val="28"/>
        </w:rPr>
      </w:pPr>
      <w:r w:rsidRPr="00302206">
        <w:rPr>
          <w:b/>
          <w:szCs w:val="28"/>
        </w:rPr>
        <w:t>Tài liệu, hồ sơ kiểm toán</w:t>
      </w:r>
    </w:p>
    <w:p w:rsidR="007C4224" w:rsidRPr="003969FA" w:rsidRDefault="00E77A28" w:rsidP="003969FA">
      <w:pPr>
        <w:pStyle w:val="ListParagraph"/>
        <w:numPr>
          <w:ilvl w:val="0"/>
          <w:numId w:val="15"/>
        </w:numPr>
        <w:spacing w:before="80" w:after="80" w:line="240" w:lineRule="auto"/>
        <w:ind w:left="567" w:hanging="567"/>
        <w:jc w:val="both"/>
        <w:rPr>
          <w:rFonts w:ascii="Times New Roman" w:hAnsi="Times New Roman"/>
          <w:sz w:val="28"/>
          <w:szCs w:val="28"/>
        </w:rPr>
      </w:pPr>
      <w:bookmarkStart w:id="1" w:name="_GoBack"/>
      <w:r w:rsidRPr="003969FA">
        <w:rPr>
          <w:rFonts w:ascii="Times New Roman" w:eastAsia="MS Mincho" w:hAnsi="Times New Roman"/>
          <w:kern w:val="8"/>
          <w:sz w:val="28"/>
          <w:szCs w:val="28"/>
          <w:lang w:bidi="he-IL"/>
        </w:rPr>
        <w:t>Kiểm toán viên nhà nước lập và lưu trong tài liệu, hồ sơ kiểm toán các thông tin tài liệu về hoạt động liên tục của đơn vị được kiểm toán theo quy định tại CMKTNN 2230 - Tài liệu, hồ sơ kiểm toán của cuộc kiểm toán tài chính.</w:t>
      </w:r>
      <w:bookmarkEnd w:id="1"/>
    </w:p>
    <w:sectPr w:rsidR="007C4224" w:rsidRPr="003969FA" w:rsidSect="003969FA">
      <w:headerReference w:type="default" r:id="rId8"/>
      <w:pgSz w:w="11907" w:h="16840" w:code="9"/>
      <w:pgMar w:top="851" w:right="1021" w:bottom="851" w:left="1418" w:header="284" w:footer="284" w:gutter="0"/>
      <w:pgNumType w:start="28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5A65" w:rsidRDefault="007E5A65" w:rsidP="008B71BC">
      <w:pPr>
        <w:spacing w:before="0" w:after="0" w:line="240" w:lineRule="auto"/>
      </w:pPr>
      <w:r>
        <w:separator/>
      </w:r>
    </w:p>
  </w:endnote>
  <w:endnote w:type="continuationSeparator" w:id="0">
    <w:p w:rsidR="007E5A65" w:rsidRDefault="007E5A65"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5A65" w:rsidRDefault="007E5A65" w:rsidP="008B71BC">
      <w:pPr>
        <w:spacing w:before="0" w:after="0" w:line="240" w:lineRule="auto"/>
      </w:pPr>
      <w:r>
        <w:separator/>
      </w:r>
    </w:p>
  </w:footnote>
  <w:footnote w:type="continuationSeparator" w:id="0">
    <w:p w:rsidR="007E5A65" w:rsidRDefault="007E5A65"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sz w:val="24"/>
        <w:szCs w:val="24"/>
      </w:rPr>
    </w:sdtEndPr>
    <w:sdtContent>
      <w:p w:rsidR="008B71BC" w:rsidRPr="003969FA" w:rsidRDefault="008B71BC">
        <w:pPr>
          <w:pStyle w:val="Header"/>
          <w:rPr>
            <w:sz w:val="24"/>
            <w:szCs w:val="24"/>
          </w:rPr>
        </w:pPr>
        <w:r w:rsidRPr="003969FA">
          <w:rPr>
            <w:sz w:val="24"/>
            <w:szCs w:val="24"/>
          </w:rPr>
          <w:fldChar w:fldCharType="begin"/>
        </w:r>
        <w:r w:rsidRPr="003969FA">
          <w:rPr>
            <w:sz w:val="24"/>
            <w:szCs w:val="24"/>
          </w:rPr>
          <w:instrText xml:space="preserve"> PAGE   \* MERGEFORMAT </w:instrText>
        </w:r>
        <w:r w:rsidRPr="003969FA">
          <w:rPr>
            <w:sz w:val="24"/>
            <w:szCs w:val="24"/>
          </w:rPr>
          <w:fldChar w:fldCharType="separate"/>
        </w:r>
        <w:r w:rsidR="005743F8" w:rsidRPr="003969FA">
          <w:rPr>
            <w:noProof/>
            <w:sz w:val="24"/>
            <w:szCs w:val="24"/>
          </w:rPr>
          <w:t>328</w:t>
        </w:r>
        <w:r w:rsidRPr="003969FA">
          <w:rPr>
            <w:noProof/>
            <w:sz w:val="24"/>
            <w:szCs w:val="24"/>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E2729"/>
    <w:multiLevelType w:val="hybridMultilevel"/>
    <w:tmpl w:val="C4E6227E"/>
    <w:lvl w:ilvl="0" w:tplc="890285C2">
      <w:start w:val="1"/>
      <w:numFmt w:val="lowerRoman"/>
      <w:lvlText w:val="(%1)"/>
      <w:lvlJc w:val="left"/>
      <w:pPr>
        <w:tabs>
          <w:tab w:val="num" w:pos="1080"/>
        </w:tabs>
        <w:ind w:left="1080" w:hanging="360"/>
      </w:pPr>
      <w:rPr>
        <w:rFonts w:ascii="Times New Roman" w:eastAsia="Calibri" w:hAnsi="Times New Roman" w:cs="Times New Roman"/>
      </w:r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 w15:restartNumberingAfterBreak="0">
    <w:nsid w:val="05F07740"/>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33F14"/>
    <w:multiLevelType w:val="hybridMultilevel"/>
    <w:tmpl w:val="CF8845F2"/>
    <w:lvl w:ilvl="0" w:tplc="CDD85AF0">
      <w:start w:val="1"/>
      <w:numFmt w:val="lowerRoman"/>
      <w:lvlText w:val="(%1)"/>
      <w:lvlJc w:val="left"/>
      <w:pPr>
        <w:tabs>
          <w:tab w:val="num" w:pos="900"/>
        </w:tabs>
        <w:ind w:left="900" w:hanging="360"/>
      </w:pPr>
      <w:rPr>
        <w:rFonts w:ascii="Times New Roman" w:eastAsia="Calibri" w:hAnsi="Times New Roman" w:cs="Times New Roman"/>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073A7334"/>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73970"/>
    <w:multiLevelType w:val="hybridMultilevel"/>
    <w:tmpl w:val="7B4ECF8C"/>
    <w:lvl w:ilvl="0" w:tplc="E3108044">
      <w:start w:val="1"/>
      <w:numFmt w:val="lowerRoman"/>
      <w:lvlText w:val="(%1)"/>
      <w:lvlJc w:val="left"/>
      <w:pPr>
        <w:tabs>
          <w:tab w:val="num" w:pos="900"/>
        </w:tabs>
        <w:ind w:left="900" w:hanging="360"/>
      </w:pPr>
      <w:rPr>
        <w:rFonts w:ascii="Times New Roman" w:eastAsia="Calibri"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0D0C44A7"/>
    <w:multiLevelType w:val="hybridMultilevel"/>
    <w:tmpl w:val="30CEC696"/>
    <w:lvl w:ilvl="0" w:tplc="E794D204">
      <w:start w:val="1"/>
      <w:numFmt w:val="decimalZero"/>
      <w:lvlText w:val="%1."/>
      <w:lvlJc w:val="left"/>
      <w:pPr>
        <w:ind w:left="659" w:hanging="375"/>
      </w:pPr>
      <w:rPr>
        <w:rFonts w:hint="default"/>
        <w:b w:val="0"/>
        <w:i w:val="0"/>
        <w:color w:val="000000"/>
      </w:rPr>
    </w:lvl>
    <w:lvl w:ilvl="1" w:tplc="CE94AE5C">
      <w:start w:val="1"/>
      <w:numFmt w:val="lowerRoman"/>
      <w:lvlText w:val="(%2)"/>
      <w:lvlJc w:val="left"/>
      <w:pPr>
        <w:ind w:left="2100" w:hanging="10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D87248"/>
    <w:multiLevelType w:val="hybridMultilevel"/>
    <w:tmpl w:val="5EF8D06A"/>
    <w:lvl w:ilvl="0" w:tplc="2AEE5A3C">
      <w:start w:val="1"/>
      <w:numFmt w:val="lowerRoman"/>
      <w:lvlText w:val="(%1)"/>
      <w:lvlJc w:val="left"/>
      <w:pPr>
        <w:tabs>
          <w:tab w:val="num" w:pos="900"/>
        </w:tabs>
        <w:ind w:left="900" w:hanging="360"/>
      </w:pPr>
      <w:rPr>
        <w:rFonts w:ascii="Times New Roman" w:eastAsia="Calibri" w:hAnsi="Times New Roman" w:cs="Times New Roman"/>
      </w:rPr>
    </w:lvl>
    <w:lvl w:ilvl="1" w:tplc="D090C9A0">
      <w:start w:val="1"/>
      <w:numFmt w:val="lowerRoman"/>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7" w15:restartNumberingAfterBreak="0">
    <w:nsid w:val="154476DF"/>
    <w:multiLevelType w:val="hybridMultilevel"/>
    <w:tmpl w:val="444ED2AE"/>
    <w:lvl w:ilvl="0" w:tplc="F9802FD0">
      <w:start w:val="1"/>
      <w:numFmt w:val="lowerRoman"/>
      <w:lvlText w:val="(%1)"/>
      <w:lvlJc w:val="left"/>
      <w:pPr>
        <w:ind w:left="1080" w:hanging="360"/>
      </w:pPr>
      <w:rPr>
        <w:rFonts w:ascii="Times New Roman" w:eastAsia="Calibri" w:hAnsi="Times New Roman" w:cs="Times New Roman"/>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690B5C"/>
    <w:multiLevelType w:val="hybridMultilevel"/>
    <w:tmpl w:val="8FF4FFEA"/>
    <w:lvl w:ilvl="0" w:tplc="A806A182">
      <w:start w:val="1"/>
      <w:numFmt w:val="decimalZero"/>
      <w:lvlText w:val="%1."/>
      <w:lvlJc w:val="left"/>
      <w:pPr>
        <w:tabs>
          <w:tab w:val="num" w:pos="502"/>
        </w:tabs>
        <w:ind w:left="502" w:hanging="360"/>
      </w:pPr>
      <w:rPr>
        <w:rFonts w:ascii="Times New Roman" w:hAnsi="Times New Roman" w:cs="Times New Roman" w:hint="default"/>
        <w:b w:val="0"/>
        <w:i w:val="0"/>
        <w:sz w:val="24"/>
      </w:rPr>
    </w:lvl>
    <w:lvl w:ilvl="1" w:tplc="04090001">
      <w:start w:val="1"/>
      <w:numFmt w:val="bullet"/>
      <w:lvlText w:val=""/>
      <w:lvlJc w:val="left"/>
      <w:pPr>
        <w:tabs>
          <w:tab w:val="num" w:pos="1979"/>
        </w:tabs>
        <w:ind w:left="1979" w:hanging="360"/>
      </w:pPr>
      <w:rPr>
        <w:rFonts w:ascii="Symbol" w:hAnsi="Symbol" w:hint="default"/>
        <w:b w:val="0"/>
      </w:rPr>
    </w:lvl>
    <w:lvl w:ilvl="2" w:tplc="69207C4E">
      <w:start w:val="1"/>
      <w:numFmt w:val="lowerRoman"/>
      <w:lvlText w:val="(%3)"/>
      <w:lvlJc w:val="left"/>
      <w:pPr>
        <w:tabs>
          <w:tab w:val="num" w:pos="1146"/>
        </w:tabs>
        <w:ind w:left="1146" w:hanging="720"/>
      </w:pPr>
      <w:rPr>
        <w:rFonts w:ascii="Times New Roman" w:eastAsia="Arial" w:hAnsi="Times New Roman" w:cs="Times New Roman"/>
        <w:b w:val="0"/>
        <w:i w:val="0"/>
        <w:sz w:val="28"/>
        <w:szCs w:val="28"/>
      </w:rPr>
    </w:lvl>
    <w:lvl w:ilvl="3" w:tplc="41DACD18">
      <w:start w:val="1"/>
      <w:numFmt w:val="lowerRoman"/>
      <w:lvlText w:val="(%4)"/>
      <w:lvlJc w:val="left"/>
      <w:pPr>
        <w:tabs>
          <w:tab w:val="num" w:pos="786"/>
        </w:tabs>
        <w:ind w:left="786" w:hanging="360"/>
      </w:pPr>
      <w:rPr>
        <w:rFonts w:ascii="Times New Roman" w:eastAsia="Times New Roman" w:hAnsi="Times New Roman" w:cs="Times New Roman"/>
        <w:b w:val="0"/>
        <w:lang w:val="vi-VN"/>
      </w:rPr>
    </w:lvl>
    <w:lvl w:ilvl="4" w:tplc="04090019">
      <w:start w:val="1"/>
      <w:numFmt w:val="lowerLetter"/>
      <w:lvlText w:val="%5."/>
      <w:lvlJc w:val="left"/>
      <w:pPr>
        <w:tabs>
          <w:tab w:val="num" w:pos="4139"/>
        </w:tabs>
        <w:ind w:left="4139" w:hanging="360"/>
      </w:pPr>
    </w:lvl>
    <w:lvl w:ilvl="5" w:tplc="0409001B" w:tentative="1">
      <w:start w:val="1"/>
      <w:numFmt w:val="lowerRoman"/>
      <w:lvlText w:val="%6."/>
      <w:lvlJc w:val="right"/>
      <w:pPr>
        <w:tabs>
          <w:tab w:val="num" w:pos="4859"/>
        </w:tabs>
        <w:ind w:left="4859" w:hanging="180"/>
      </w:pPr>
    </w:lvl>
    <w:lvl w:ilvl="6" w:tplc="0409000F" w:tentative="1">
      <w:start w:val="1"/>
      <w:numFmt w:val="decimal"/>
      <w:lvlText w:val="%7."/>
      <w:lvlJc w:val="left"/>
      <w:pPr>
        <w:tabs>
          <w:tab w:val="num" w:pos="5579"/>
        </w:tabs>
        <w:ind w:left="5579" w:hanging="360"/>
      </w:pPr>
    </w:lvl>
    <w:lvl w:ilvl="7" w:tplc="04090019" w:tentative="1">
      <w:start w:val="1"/>
      <w:numFmt w:val="lowerLetter"/>
      <w:lvlText w:val="%8."/>
      <w:lvlJc w:val="left"/>
      <w:pPr>
        <w:tabs>
          <w:tab w:val="num" w:pos="6299"/>
        </w:tabs>
        <w:ind w:left="6299" w:hanging="360"/>
      </w:pPr>
    </w:lvl>
    <w:lvl w:ilvl="8" w:tplc="0409001B" w:tentative="1">
      <w:start w:val="1"/>
      <w:numFmt w:val="lowerRoman"/>
      <w:lvlText w:val="%9."/>
      <w:lvlJc w:val="right"/>
      <w:pPr>
        <w:tabs>
          <w:tab w:val="num" w:pos="7019"/>
        </w:tabs>
        <w:ind w:left="7019" w:hanging="180"/>
      </w:pPr>
    </w:lvl>
  </w:abstractNum>
  <w:abstractNum w:abstractNumId="9" w15:restartNumberingAfterBreak="0">
    <w:nsid w:val="2DF6013A"/>
    <w:multiLevelType w:val="hybridMultilevel"/>
    <w:tmpl w:val="DFB8435C"/>
    <w:lvl w:ilvl="0" w:tplc="B734B39E">
      <w:start w:val="1"/>
      <w:numFmt w:val="lowerRoman"/>
      <w:lvlText w:val="(%1)"/>
      <w:lvlJc w:val="left"/>
      <w:pPr>
        <w:ind w:left="1069" w:hanging="360"/>
      </w:pPr>
      <w:rPr>
        <w:rFonts w:ascii="Times New Roman" w:eastAsia="Calibri"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33C4207B"/>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172996"/>
    <w:multiLevelType w:val="hybridMultilevel"/>
    <w:tmpl w:val="591C010E"/>
    <w:lvl w:ilvl="0" w:tplc="69207C4E">
      <w:start w:val="1"/>
      <w:numFmt w:val="lowerRoman"/>
      <w:lvlText w:val="(%1)"/>
      <w:lvlJc w:val="left"/>
      <w:pPr>
        <w:tabs>
          <w:tab w:val="num" w:pos="1146"/>
        </w:tabs>
        <w:ind w:left="1146" w:hanging="720"/>
      </w:pPr>
      <w:rPr>
        <w:rFonts w:ascii="Times New Roman" w:eastAsia="Arial" w:hAnsi="Times New Roman" w:cs="Times New Roman"/>
        <w:b w:val="0"/>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741C9B"/>
    <w:multiLevelType w:val="hybridMultilevel"/>
    <w:tmpl w:val="B014A052"/>
    <w:lvl w:ilvl="0" w:tplc="E806B2FA">
      <w:start w:val="1"/>
      <w:numFmt w:val="decimalZero"/>
      <w:lvlText w:val="%1."/>
      <w:lvlJc w:val="left"/>
      <w:pPr>
        <w:ind w:left="786" w:hanging="360"/>
      </w:pPr>
      <w:rPr>
        <w:rFonts w:hint="default"/>
        <w:sz w:val="28"/>
        <w:szCs w:val="28"/>
      </w:rPr>
    </w:lvl>
    <w:lvl w:ilvl="1" w:tplc="79FC4512">
      <w:start w:val="1"/>
      <w:numFmt w:val="lowerRoman"/>
      <w:lvlText w:val="(%2)"/>
      <w:lvlJc w:val="left"/>
      <w:pPr>
        <w:ind w:left="1647" w:hanging="360"/>
      </w:pPr>
      <w:rPr>
        <w:rFonts w:ascii="Times New Roman" w:eastAsia="Calibri" w:hAnsi="Times New Roman" w:cs="Times New Roman"/>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6E312E3"/>
    <w:multiLevelType w:val="hybridMultilevel"/>
    <w:tmpl w:val="3BDE26AC"/>
    <w:lvl w:ilvl="0" w:tplc="5AC6F4C0">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620535E4"/>
    <w:multiLevelType w:val="hybridMultilevel"/>
    <w:tmpl w:val="201E6178"/>
    <w:lvl w:ilvl="0" w:tplc="BA26FE62">
      <w:start w:val="1"/>
      <w:numFmt w:val="lowerRoman"/>
      <w:lvlText w:val="(%1)"/>
      <w:lvlJc w:val="left"/>
      <w:pPr>
        <w:ind w:left="1080" w:hanging="360"/>
      </w:pPr>
      <w:rPr>
        <w:rFonts w:ascii="Times New Roman" w:eastAsia="Arial"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E382CC2"/>
    <w:multiLevelType w:val="hybridMultilevel"/>
    <w:tmpl w:val="443658A4"/>
    <w:lvl w:ilvl="0" w:tplc="FF4C9710">
      <w:start w:val="1"/>
      <w:numFmt w:val="lowerRoman"/>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8"/>
  </w:num>
  <w:num w:numId="3">
    <w:abstractNumId w:val="5"/>
  </w:num>
  <w:num w:numId="4">
    <w:abstractNumId w:val="1"/>
  </w:num>
  <w:num w:numId="5">
    <w:abstractNumId w:val="3"/>
  </w:num>
  <w:num w:numId="6">
    <w:abstractNumId w:val="10"/>
  </w:num>
  <w:num w:numId="7">
    <w:abstractNumId w:val="11"/>
  </w:num>
  <w:num w:numId="8">
    <w:abstractNumId w:val="7"/>
  </w:num>
  <w:num w:numId="9">
    <w:abstractNumId w:val="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5"/>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66DB3"/>
    <w:rsid w:val="0007078B"/>
    <w:rsid w:val="000718B3"/>
    <w:rsid w:val="000C2CF6"/>
    <w:rsid w:val="00140903"/>
    <w:rsid w:val="001432F0"/>
    <w:rsid w:val="00165102"/>
    <w:rsid w:val="001E41CD"/>
    <w:rsid w:val="00221CCA"/>
    <w:rsid w:val="00265BDC"/>
    <w:rsid w:val="002C3D6F"/>
    <w:rsid w:val="00315A19"/>
    <w:rsid w:val="0038515E"/>
    <w:rsid w:val="003969FA"/>
    <w:rsid w:val="003B327A"/>
    <w:rsid w:val="00425231"/>
    <w:rsid w:val="004758FF"/>
    <w:rsid w:val="004F3A44"/>
    <w:rsid w:val="005171B1"/>
    <w:rsid w:val="005543BC"/>
    <w:rsid w:val="005743F8"/>
    <w:rsid w:val="00595FD1"/>
    <w:rsid w:val="005D1E40"/>
    <w:rsid w:val="006673C1"/>
    <w:rsid w:val="006B0CC0"/>
    <w:rsid w:val="0075245B"/>
    <w:rsid w:val="00753F1A"/>
    <w:rsid w:val="00756765"/>
    <w:rsid w:val="007723C7"/>
    <w:rsid w:val="007C4224"/>
    <w:rsid w:val="007E5A65"/>
    <w:rsid w:val="007F7807"/>
    <w:rsid w:val="00845A27"/>
    <w:rsid w:val="0089576F"/>
    <w:rsid w:val="008A4B8D"/>
    <w:rsid w:val="008B71BC"/>
    <w:rsid w:val="0093399C"/>
    <w:rsid w:val="00934EAE"/>
    <w:rsid w:val="009815E2"/>
    <w:rsid w:val="00A0129F"/>
    <w:rsid w:val="00A27D56"/>
    <w:rsid w:val="00A96AF4"/>
    <w:rsid w:val="00AC7A97"/>
    <w:rsid w:val="00B65612"/>
    <w:rsid w:val="00B76475"/>
    <w:rsid w:val="00BB2C99"/>
    <w:rsid w:val="00BC5017"/>
    <w:rsid w:val="00BC6563"/>
    <w:rsid w:val="00C05100"/>
    <w:rsid w:val="00C11472"/>
    <w:rsid w:val="00C8523C"/>
    <w:rsid w:val="00C939AA"/>
    <w:rsid w:val="00CD1746"/>
    <w:rsid w:val="00D23537"/>
    <w:rsid w:val="00D758CC"/>
    <w:rsid w:val="00E10FAE"/>
    <w:rsid w:val="00E758C7"/>
    <w:rsid w:val="00E77A28"/>
    <w:rsid w:val="00EF2706"/>
    <w:rsid w:val="00F10929"/>
    <w:rsid w:val="00F84271"/>
    <w:rsid w:val="00FA0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2CCC8"/>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paragraph" w:styleId="Heading3">
    <w:name w:val="heading 3"/>
    <w:basedOn w:val="Normal"/>
    <w:next w:val="Normal"/>
    <w:link w:val="Heading3Char"/>
    <w:uiPriority w:val="9"/>
    <w:semiHidden/>
    <w:unhideWhenUsed/>
    <w:qFormat/>
    <w:rsid w:val="007567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 w:type="paragraph" w:styleId="BodyTextIndent">
    <w:name w:val="Body Text Indent"/>
    <w:basedOn w:val="Normal"/>
    <w:link w:val="BodyTextIndentChar"/>
    <w:uiPriority w:val="99"/>
    <w:semiHidden/>
    <w:unhideWhenUsed/>
    <w:rsid w:val="00BB2C99"/>
    <w:pPr>
      <w:ind w:left="360"/>
    </w:pPr>
  </w:style>
  <w:style w:type="character" w:customStyle="1" w:styleId="BodyTextIndentChar">
    <w:name w:val="Body Text Indent Char"/>
    <w:basedOn w:val="DefaultParagraphFont"/>
    <w:link w:val="BodyTextIndent"/>
    <w:uiPriority w:val="99"/>
    <w:semiHidden/>
    <w:rsid w:val="00BB2C99"/>
    <w:rPr>
      <w:rFonts w:ascii="Times New Roman" w:eastAsia="Arial" w:hAnsi="Times New Roman" w:cs="Times New Roman"/>
      <w:sz w:val="28"/>
      <w:lang w:val="vi-VN"/>
    </w:rPr>
  </w:style>
  <w:style w:type="character" w:customStyle="1" w:styleId="Heading3Char">
    <w:name w:val="Heading 3 Char"/>
    <w:basedOn w:val="DefaultParagraphFont"/>
    <w:link w:val="Heading3"/>
    <w:rsid w:val="00756765"/>
    <w:rPr>
      <w:rFonts w:asciiTheme="majorHAnsi" w:eastAsiaTheme="majorEastAsia" w:hAnsiTheme="majorHAnsi" w:cstheme="majorBidi"/>
      <w:color w:val="1F4D78" w:themeColor="accent1" w:themeShade="7F"/>
      <w:sz w:val="24"/>
      <w:szCs w:val="24"/>
      <w:lang w:val="vi-VN"/>
    </w:rPr>
  </w:style>
  <w:style w:type="paragraph" w:customStyle="1" w:styleId="After">
    <w:name w:val="After"/>
    <w:basedOn w:val="NumberedParagraph"/>
    <w:next w:val="NumberedParagraph"/>
    <w:rsid w:val="00756765"/>
    <w:pPr>
      <w:tabs>
        <w:tab w:val="clear" w:pos="312"/>
        <w:tab w:val="clear" w:pos="480"/>
      </w:tabs>
      <w:spacing w:before="140"/>
      <w:ind w:firstLine="0"/>
    </w:pPr>
  </w:style>
  <w:style w:type="paragraph" w:customStyle="1" w:styleId="numberedparagraph0">
    <w:name w:val="numberedparagraph"/>
    <w:basedOn w:val="Normal"/>
    <w:rsid w:val="0093399C"/>
    <w:pPr>
      <w:spacing w:before="100" w:beforeAutospacing="1" w:after="100" w:afterAutospacing="1" w:line="240" w:lineRule="auto"/>
      <w:jc w:val="left"/>
    </w:pPr>
    <w:rPr>
      <w:rFonts w:eastAsia="Times New Roman"/>
      <w:sz w:val="24"/>
      <w:szCs w:val="24"/>
      <w:lang w:val="en-US"/>
    </w:rPr>
  </w:style>
  <w:style w:type="paragraph" w:customStyle="1" w:styleId="bullet2">
    <w:name w:val="bullet 2"/>
    <w:basedOn w:val="Normal"/>
    <w:rsid w:val="007723C7"/>
    <w:pPr>
      <w:tabs>
        <w:tab w:val="right" w:pos="360"/>
        <w:tab w:val="left" w:pos="576"/>
        <w:tab w:val="left" w:pos="792"/>
      </w:tabs>
      <w:spacing w:after="0" w:line="240" w:lineRule="exact"/>
      <w:ind w:left="792" w:hanging="216"/>
      <w:jc w:val="both"/>
    </w:pPr>
    <w:rPr>
      <w:rFonts w:eastAsia="Times New Roman"/>
      <w:sz w:val="20"/>
      <w:szCs w:val="20"/>
      <w:lang w:val="en-US"/>
    </w:rPr>
  </w:style>
  <w:style w:type="character" w:customStyle="1" w:styleId="BodyTextChar1">
    <w:name w:val="Body Text Char1"/>
    <w:uiPriority w:val="99"/>
    <w:locked/>
    <w:rsid w:val="00C8523C"/>
    <w:rPr>
      <w:rFonts w:ascii="Palatino Linotype" w:hAnsi="Palatino Linotype" w:cs="Palatino Linotype"/>
      <w:sz w:val="17"/>
      <w:szCs w:val="17"/>
      <w:shd w:val="clear" w:color="auto" w:fill="FFFFFF"/>
    </w:rPr>
  </w:style>
  <w:style w:type="character" w:customStyle="1" w:styleId="apple-converted-space">
    <w:name w:val="apple-converted-space"/>
    <w:basedOn w:val="DefaultParagraphFont"/>
    <w:rsid w:val="0089576F"/>
  </w:style>
  <w:style w:type="paragraph" w:customStyle="1" w:styleId="listparagraph0">
    <w:name w:val="listparagraph"/>
    <w:basedOn w:val="Normal"/>
    <w:rsid w:val="0089576F"/>
    <w:pPr>
      <w:spacing w:before="100" w:beforeAutospacing="1" w:after="100" w:afterAutospacing="1" w:line="240" w:lineRule="auto"/>
      <w:jc w:val="left"/>
    </w:pPr>
    <w:rPr>
      <w:rFonts w:eastAsia="Times New Roman"/>
      <w:sz w:val="24"/>
      <w:szCs w:val="24"/>
      <w:lang w:eastAsia="vi-VN"/>
    </w:rPr>
  </w:style>
  <w:style w:type="character" w:customStyle="1" w:styleId="msoins0">
    <w:name w:val="msoins"/>
    <w:basedOn w:val="DefaultParagraphFont"/>
    <w:rsid w:val="0089576F"/>
  </w:style>
  <w:style w:type="character" w:styleId="Strong">
    <w:name w:val="Strong"/>
    <w:uiPriority w:val="22"/>
    <w:qFormat/>
    <w:rsid w:val="00315A19"/>
    <w:rPr>
      <w:b/>
      <w:bCs/>
    </w:rPr>
  </w:style>
  <w:style w:type="paragraph" w:styleId="BalloonText">
    <w:name w:val="Balloon Text"/>
    <w:basedOn w:val="Normal"/>
    <w:link w:val="BalloonTextChar"/>
    <w:uiPriority w:val="99"/>
    <w:semiHidden/>
    <w:unhideWhenUsed/>
    <w:rsid w:val="003969FA"/>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69FA"/>
    <w:rPr>
      <w:rFonts w:ascii="Segoe UI" w:eastAsia="Arial"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EF1B5-B790-4721-AEB4-3719A7F35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3212</Words>
  <Characters>18312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32</cp:revision>
  <cp:lastPrinted>2024-03-25T05:15:00Z</cp:lastPrinted>
  <dcterms:created xsi:type="dcterms:W3CDTF">2024-03-21T02:14:00Z</dcterms:created>
  <dcterms:modified xsi:type="dcterms:W3CDTF">2024-03-25T05:15:00Z</dcterms:modified>
</cp:coreProperties>
</file>